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autofit"/>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4680"/>
          </w:tcPr>
          <w:p>
            <w:pPr>
              <w:jc w:val="left"/>
            </w:pPr>
            <w:r>
              <w:drawing>
                <wp:inline xmlns:a="http://schemas.openxmlformats.org/drawingml/2006/main" xmlns:pic="http://schemas.openxmlformats.org/drawingml/2006/picture">
                  <wp:extent cx="1554480" cy="931003"/>
                  <wp:docPr id="1" name="Picture 1"/>
                  <wp:cNvGraphicFramePr>
                    <a:graphicFrameLocks noChangeAspect="1"/>
                  </wp:cNvGraphicFramePr>
                  <a:graphic>
                    <a:graphicData uri="http://schemas.openxmlformats.org/drawingml/2006/picture">
                      <pic:pic>
                        <pic:nvPicPr>
                          <pic:cNvPr id="0" name="p1_img0_xref13.jpeg"/>
                          <pic:cNvPicPr/>
                        </pic:nvPicPr>
                        <pic:blipFill>
                          <a:blip r:embed="rId9"/>
                          <a:stretch>
                            <a:fillRect/>
                          </a:stretch>
                        </pic:blipFill>
                        <pic:spPr>
                          <a:xfrm>
                            <a:off x="0" y="0"/>
                            <a:ext cx="1554480" cy="931003"/>
                          </a:xfrm>
                          <a:prstGeom prst="rect"/>
                        </pic:spPr>
                      </pic:pic>
                    </a:graphicData>
                  </a:graphic>
                </wp:inline>
              </w:drawing>
            </w:r>
          </w:p>
        </w:tc>
        <w:tc>
          <w:tcPr>
            <w:tcW w:type="dxa" w:w="4680"/>
          </w:tcPr>
          <w:p>
            <w:pPr>
              <w:jc w:val="right"/>
            </w:pPr>
            <w:r>
              <w:drawing>
                <wp:inline xmlns:a="http://schemas.openxmlformats.org/drawingml/2006/main" xmlns:pic="http://schemas.openxmlformats.org/drawingml/2006/picture">
                  <wp:extent cx="2103120" cy="419282"/>
                  <wp:docPr id="2" name="Picture 2"/>
                  <wp:cNvGraphicFramePr>
                    <a:graphicFrameLocks noChangeAspect="1"/>
                  </wp:cNvGraphicFramePr>
                  <a:graphic>
                    <a:graphicData uri="http://schemas.openxmlformats.org/drawingml/2006/picture">
                      <pic:pic>
                        <pic:nvPicPr>
                          <pic:cNvPr id="0" name="p1_img1_xref14.png"/>
                          <pic:cNvPicPr/>
                        </pic:nvPicPr>
                        <pic:blipFill>
                          <a:blip r:embed="rId10"/>
                          <a:stretch>
                            <a:fillRect/>
                          </a:stretch>
                        </pic:blipFill>
                        <pic:spPr>
                          <a:xfrm>
                            <a:off x="0" y="0"/>
                            <a:ext cx="2103120" cy="419282"/>
                          </a:xfrm>
                          <a:prstGeom prst="rect"/>
                        </pic:spPr>
                      </pic:pic>
                    </a:graphicData>
                  </a:graphic>
                </wp:inline>
              </w:drawing>
            </w:r>
          </w:p>
        </w:tc>
      </w:tr>
    </w:tbl>
    <w:p>
      <w:pPr>
        <w:spacing w:after="280" w:before="200"/>
        <w:jc w:val="center"/>
      </w:pPr>
      <w:r>
        <w:rPr>
          <w:rFonts w:ascii="Times New Roman" w:hAnsi="Times New Roman"/>
          <w:b/>
          <w:i w:val="0"/>
          <w:sz w:val="26"/>
        </w:rPr>
        <w:t>16º Congresso de Inovação, Ciência e Tecnologia do IFSP - 2025</w:t>
      </w:r>
    </w:p>
    <w:p>
      <w:pPr>
        <w:spacing w:after="200"/>
        <w:jc w:val="center"/>
      </w:pPr>
      <w:r>
        <w:rPr>
          <w:rFonts w:ascii="Times New Roman" w:hAnsi="Times New Roman"/>
          <w:b/>
          <w:i w:val="0"/>
          <w:sz w:val="28"/>
        </w:rPr>
        <w:t>SAFENAP: SISTEMA WEB HÍBRIDO DE DETECÇÃO DE FADIGA VEICULAR COM VISÃO COMPUTACIONAL, MACHINE LEARNING E SENSOR DE PRESSÃO NO VOLANTE</w:t>
      </w:r>
    </w:p>
    <w:p>
      <w:pPr>
        <w:spacing w:after="40"/>
        <w:jc w:val="center"/>
      </w:pPr>
      <w:r>
        <w:rPr>
          <w:rFonts w:ascii="Times New Roman" w:hAnsi="Times New Roman"/>
          <w:b w:val="0"/>
          <w:i w:val="0"/>
          <w:sz w:val="22"/>
        </w:rPr>
        <w:t>L.C.M</w:t>
      </w:r>
      <w:r>
        <w:rPr>
          <w:rFonts w:ascii="Times New Roman" w:hAnsi="Times New Roman"/>
          <w:b w:val="0"/>
          <w:i w:val="0"/>
          <w:sz w:val="22"/>
          <w:vertAlign w:val="superscript"/>
        </w:rPr>
        <w:t>1</w:t>
      </w:r>
      <w:r>
        <w:rPr>
          <w:rFonts w:ascii="Times New Roman" w:hAnsi="Times New Roman"/>
          <w:b w:val="0"/>
          <w:i w:val="0"/>
          <w:sz w:val="22"/>
        </w:rPr>
        <w:t>; J.S.M</w:t>
      </w:r>
      <w:r>
        <w:rPr>
          <w:rFonts w:ascii="Times New Roman" w:hAnsi="Times New Roman"/>
          <w:b w:val="0"/>
          <w:i w:val="0"/>
          <w:sz w:val="22"/>
          <w:vertAlign w:val="superscript"/>
        </w:rPr>
        <w:t>2</w:t>
      </w:r>
    </w:p>
    <w:p>
      <w:pPr>
        <w:spacing w:after="0"/>
        <w:jc w:val="center"/>
      </w:pPr>
      <w:r>
        <w:rPr>
          <w:rFonts w:ascii="Times New Roman" w:hAnsi="Times New Roman"/>
          <w:b w:val="0"/>
          <w:i w:val="0"/>
          <w:sz w:val="18"/>
          <w:vertAlign w:val="superscript"/>
        </w:rPr>
        <w:t>1</w:t>
      </w:r>
      <w:r>
        <w:rPr>
          <w:rFonts w:ascii="Times New Roman" w:hAnsi="Times New Roman"/>
          <w:b w:val="0"/>
          <w:i w:val="0"/>
          <w:sz w:val="18"/>
        </w:rPr>
        <w:t xml:space="preserve"> Graduando em Automação Industrial, IFSP, Campus Sertãozinho.</w:t>
      </w:r>
    </w:p>
    <w:p>
      <w:pPr>
        <w:spacing w:after="120"/>
        <w:jc w:val="center"/>
      </w:pPr>
      <w:r>
        <w:rPr>
          <w:rFonts w:ascii="Times New Roman" w:hAnsi="Times New Roman"/>
          <w:b w:val="0"/>
          <w:i w:val="0"/>
          <w:sz w:val="18"/>
          <w:vertAlign w:val="superscript"/>
        </w:rPr>
        <w:t>2</w:t>
      </w:r>
      <w:r>
        <w:rPr>
          <w:rFonts w:ascii="Times New Roman" w:hAnsi="Times New Roman"/>
          <w:b w:val="0"/>
          <w:i w:val="0"/>
          <w:sz w:val="18"/>
        </w:rPr>
        <w:t xml:space="preserve"> [Titulação/curso e instituição do(a) segundo(a) autor(a) — completar].</w:t>
      </w:r>
    </w:p>
    <w:p>
      <w:pPr>
        <w:spacing w:after="280"/>
        <w:jc w:val="center"/>
      </w:pPr>
      <w:r>
        <w:rPr>
          <w:rFonts w:ascii="Times New Roman" w:hAnsi="Times New Roman"/>
          <w:b w:val="0"/>
          <w:i w:val="0"/>
          <w:sz w:val="18"/>
        </w:rPr>
        <w:t>Área de conhecimento (Tabela CNPq): 3.04.05.00-9 Eletrônica Industrial, Sistemas e Controles Eletrônicos</w:t>
      </w:r>
    </w:p>
    <w:p>
      <w:pPr>
        <w:spacing w:after="160"/>
        <w:jc w:val="both"/>
      </w:pPr>
      <w:r>
        <w:rPr>
          <w:rFonts w:ascii="Times New Roman" w:hAnsi="Times New Roman"/>
          <w:b/>
          <w:i w:val="0"/>
          <w:sz w:val="22"/>
        </w:rPr>
        <w:t xml:space="preserve">RESUMO: </w:t>
      </w:r>
      <w:r>
        <w:rPr>
          <w:rFonts w:ascii="Times New Roman" w:hAnsi="Times New Roman"/>
          <w:b w:val="0"/>
          <w:i w:val="0"/>
          <w:sz w:val="22"/>
        </w:rPr>
        <w:t>A sonolência ao volante é responsável por parcela significativa dos acidentes de trânsito graves no Brasil e no mundo. O SafeNap é um sistema de baixo custo para prevenir esses acidentes, pensado para ser instalado posteriormente em qualquer carro — sem depender da eletrônica original do veículo — e não apenas embarcado de fábrica. Ele roda inteiramente em um navegador de internet comum, inclusive no navegador do próprio celular do motorista, e usa a câmera para observar o rosto continuamente, identificando sinais de sonolência como olhos fechando por tempo prolongado, piscadas lentas, bocejos e a cabeça baixando. Esse sinal de câmera é reforçado por um sensor de pressão na empunhadura do volante, que detecta quando as mãos relaxam — um segundo sinal, físico e independente do primeiro. Os dois sinais são combinados de forma que nenhum consegue, sozinho, calar um alarme disparado pelo outro: se qualquer uma das duas fontes indicar risco, o sistema aciona um alerta sonoro e por vibração. A lógica de decisão foi validada por uma extensa suíte de testes automatizados, e a classificação de olhos fechados foi testada contra um banco de mais de 2 mil fotos de rostos reais, acertando 99,3% dos casos de olho realmente fechado. Conclui-se que a arquitetura é tecnicamente viável, mais robusta do que soluções baseadas em um único sinal, e mantém o potencial de levar segurança veicular a carros que não têm esse recurso de fábrica.</w:t>
      </w:r>
    </w:p>
    <w:p>
      <w:pPr>
        <w:spacing w:after="160"/>
        <w:jc w:val="both"/>
      </w:pPr>
      <w:r>
        <w:rPr>
          <w:rFonts w:ascii="Times New Roman" w:hAnsi="Times New Roman"/>
          <w:b/>
          <w:i w:val="0"/>
          <w:sz w:val="22"/>
        </w:rPr>
        <w:t xml:space="preserve">PALAVRAS-CHAVE: </w:t>
      </w:r>
      <w:r>
        <w:rPr>
          <w:rFonts w:ascii="Times New Roman" w:hAnsi="Times New Roman"/>
          <w:b w:val="0"/>
          <w:i w:val="0"/>
          <w:sz w:val="22"/>
        </w:rPr>
        <w:t>segurança viária; visão computacional; machine learning; Arduino; fusão de sensores; fadiga do condutor.</w:t>
      </w:r>
    </w:p>
    <w:p>
      <w:pPr>
        <w:spacing w:after="200" w:before="200"/>
        <w:jc w:val="center"/>
      </w:pPr>
      <w:r>
        <w:rPr>
          <w:rFonts w:ascii="Times New Roman" w:hAnsi="Times New Roman"/>
          <w:b/>
          <w:i w:val="0"/>
          <w:sz w:val="24"/>
        </w:rPr>
        <w:t>SAFENAP: HYBRID WEB-BASED VEHICLE FATIGUE DETECTION SYSTEM WITH COMPUTER VISION, MACHINE LEARNING AND STEERING-WHEEL PRESSURE SENSING</w:t>
      </w:r>
    </w:p>
    <w:p>
      <w:pPr>
        <w:spacing w:after="160"/>
        <w:jc w:val="both"/>
      </w:pPr>
      <w:r>
        <w:rPr>
          <w:rFonts w:ascii="Times New Roman" w:hAnsi="Times New Roman"/>
          <w:b/>
          <w:i w:val="0"/>
          <w:sz w:val="22"/>
        </w:rPr>
        <w:t xml:space="preserve">ABSTRACT: </w:t>
      </w:r>
      <w:r>
        <w:rPr>
          <w:rFonts w:ascii="Times New Roman" w:hAnsi="Times New Roman"/>
          <w:b w:val="0"/>
          <w:i w:val="0"/>
          <w:sz w:val="22"/>
        </w:rPr>
        <w:t>Drowsy driving accounts for a significant share of serious road accidents in Brazil and worldwide. SafeNap is a low-cost system for preventing these accidents, designed to be installed afterward in any car — without depending on the vehicle's original electronics — rather than only as a factory-built feature. It runs entirely in an ordinary web browser, including the driver's own phone browser, and uses the camera to continuously watch the driver's face, identifying signs of drowsiness such as prolonged eye closure, slow blinking, yawning and a drooping head. This camera signal is reinforced by a pressure sensor on the steering-wheel grip, which detects when the hands relax — a second, physical and independent signal. The two signals are combined so that neither can, on its own, silence an alarm raised by the other: if either source indicates risk, the system triggers a sound and vibration alert. The decision logic was validated by an extensive suite of automated tests, and the closed-eye classification was benchmarked against a public dataset of more than 2,000 real face photographs, correctly identifying 99.3% of truly closed eyes. It is concluded that the architecture is technically feasible, more robust than single-signal approaches, and retains the potential to bring vehicle safety technology to cars that lack it from the factory.</w:t>
      </w:r>
    </w:p>
    <w:p>
      <w:pPr>
        <w:spacing w:after="160"/>
        <w:jc w:val="both"/>
      </w:pPr>
      <w:r>
        <w:rPr>
          <w:rFonts w:ascii="Times New Roman" w:hAnsi="Times New Roman"/>
          <w:b/>
          <w:i w:val="0"/>
          <w:sz w:val="22"/>
        </w:rPr>
        <w:t xml:space="preserve">KEYWORDS: </w:t>
      </w:r>
      <w:r>
        <w:rPr>
          <w:rFonts w:ascii="Times New Roman" w:hAnsi="Times New Roman"/>
          <w:b w:val="0"/>
          <w:i w:val="0"/>
          <w:sz w:val="22"/>
        </w:rPr>
        <w:t>road safety; computer vision; machine learning; Arduino; sensor fusion; driver fatigue.</w:t>
      </w:r>
    </w:p>
    <w:p>
      <w:pPr>
        <w:spacing w:after="120" w:before="200"/>
        <w:jc w:val="left"/>
      </w:pPr>
      <w:r>
        <w:rPr>
          <w:rFonts w:ascii="Times New Roman" w:hAnsi="Times New Roman"/>
          <w:b/>
          <w:i w:val="0"/>
          <w:sz w:val="22"/>
        </w:rPr>
        <w:t>INTRODUÇÃO</w:t>
      </w:r>
    </w:p>
    <w:p>
      <w:pPr>
        <w:spacing w:after="160"/>
        <w:jc w:val="both"/>
      </w:pPr>
      <w:r>
        <w:rPr>
          <w:rFonts w:ascii="Times New Roman" w:hAnsi="Times New Roman"/>
          <w:b w:val="0"/>
          <w:i w:val="0"/>
          <w:sz w:val="22"/>
        </w:rPr>
        <w:t>A sonolência ao volante configura-se como um dos fatores de risco mais críticos para a segurança viária global. De acordo com a Organização Mundial da Saúde (OMS, 2023), a fadiga do condutor está associada a aproximadamente 20% dos acidentes rodoviários graves em todo o mundo. No Brasil, o Departamento Nacional de Infraestrutura de Transportes (DNIT, 2022) aponta que a sonolência é determinante em cerca de 30% dos acidentes fatais em rodovias federais. Identificar a fadiga antes que o condutor perca totalmente a consciência representa, portanto, um desafio tecnológico de alta relevância para a saúde pública.</w:t>
      </w:r>
    </w:p>
    <w:p>
      <w:pPr>
        <w:spacing w:after="160"/>
        <w:jc w:val="both"/>
      </w:pPr>
      <w:r>
        <w:rPr>
          <w:rFonts w:ascii="Times New Roman" w:hAnsi="Times New Roman"/>
          <w:b w:val="0"/>
          <w:i w:val="0"/>
          <w:sz w:val="22"/>
        </w:rPr>
        <w:t>Diversos sistemas comerciais de monitoramento de fadiga já estão disponíveis no mercado, como o Attention Assist da Mercedes-Benz, o Driver Drowsiness Detection da Toyota e soluções baseadas em câmeras infravermelhas (SAHAYADHAS; SUNDARAJ; MURUGAPPAN, 2012). Contudo, essas tecnologias geralmente apresentam alto custo de implementação e são restritas a veículos de luxo ou frotas corporativas de grande porte, sendo inacessíveis à maioria dos condutores brasileiros. A lacuna tecnológica evidencia a necessidade de soluções acessíveis e replicáveis.</w:t>
      </w:r>
    </w:p>
    <w:p>
      <w:pPr>
        <w:spacing w:after="160"/>
        <w:jc w:val="both"/>
      </w:pPr>
      <w:r>
        <w:rPr>
          <w:rFonts w:ascii="Times New Roman" w:hAnsi="Times New Roman"/>
          <w:b w:val="0"/>
          <w:i w:val="0"/>
          <w:sz w:val="22"/>
        </w:rPr>
        <w:t>A proposta do SafeNap é direta: um sistema que roda em um navegador de internet comum — inclusive no navegador de um celular, sem precisar instalar nenhum aplicativo — e usa a câmera do dispositivo para observar o rosto do motorista continuamente, em busca de sinais de sonolência como olhos fechando por tempo prolongado, piscadas lentas, bocejos e a cabeça baixando. Esse sinal de câmera é reforçado por um segundo sinal, físico e independente do primeiro: um sensor de pressão instalado na empunhadura do volante, que detecta quando o motorista relaxa as mãos. Assim que qualquer um dos dois sinais indica risco, o sistema aciona um alarme sonoro e por vibração — e nenhum dos dois consegue, sozinho, calar um alarme disparado pelo outro. Diferentemente de sistemas de monitoramento de fadiga incorporados originalmente à eletrônica do veículo, o SafeNap é pensado como um dispositivo retrofit: instalável posteriormente em diferentes modelos de automóveis, sem depender de uma arquitetura eletrônica veicular específica. Essa característica amplia sua aplicabilidade e favorece sua evolução para um produto autônomo, capaz de agregar monitoramento de fadiga também a veículos que não dispõem dessa tecnologia de fábrica.</w:t>
      </w:r>
    </w:p>
    <w:p>
      <w:pPr>
        <w:spacing w:after="160"/>
        <w:jc w:val="both"/>
      </w:pPr>
      <w:r>
        <w:rPr>
          <w:rFonts w:ascii="Times New Roman" w:hAnsi="Times New Roman"/>
          <w:b w:val="0"/>
          <w:i w:val="0"/>
          <w:sz w:val="22"/>
        </w:rPr>
        <w:t>Este trabalho apresenta a evolução do protótipo do SafeNap para essa arquitetura web distribuída, que integra processamento de visão computacional e aprendizado de máquina no navegador (cliente) com a interpretação de um sensor de pressão FSR-402 na empunhadura do volante em um backend Python conectado a um Arduino Nano (atuação). A hipótese de projeto — e não uma conclusão já estabelecida na literatura — é que a fusão em lógica OR entre duas fontes de sinal fisicamente independentes aumenta a confiabilidade do sistema em relação a abordagens de sinal único, pois nenhuma das duas fontes consegue suprimir um alarme ativo originado pela outra. Essa hipótese apoia-se na literatura geral de fusão multimodal para detecção de fadiga, que associa a combinação de modalidades fisiológicas, comportamentais e veiculares a maior robustez frente a falhas isoladas de uma única modalidade (SAHAYADHAS; SUNDARAJ; MURUGAPPAN, 2012). Não foi identificado, contudo, um estudo que valide especificamente esta combinação — EAR ocular e pressão de empunhadura; a validação empírica dessa hipótese com dados de condutores reais permanece como trabalho futuro (seção Conclusões), e a seção Resultados apresenta, em seu lugar, evidência parcial: a validação isolada do sinal de visão contra dados humanos reais.</w:t>
      </w:r>
    </w:p>
    <w:p>
      <w:pPr>
        <w:spacing w:after="120" w:before="200"/>
        <w:jc w:val="left"/>
      </w:pPr>
      <w:r>
        <w:rPr>
          <w:rFonts w:ascii="Times New Roman" w:hAnsi="Times New Roman"/>
          <w:b/>
          <w:i w:val="0"/>
          <w:sz w:val="22"/>
        </w:rPr>
        <w:t>MATERIAL E MÉTODOS</w:t>
      </w:r>
    </w:p>
    <w:p>
      <w:pPr>
        <w:spacing w:after="160"/>
        <w:jc w:val="both"/>
      </w:pPr>
      <w:r>
        <w:rPr>
          <w:rFonts w:ascii="Times New Roman" w:hAnsi="Times New Roman"/>
          <w:b w:val="0"/>
          <w:i w:val="0"/>
          <w:sz w:val="22"/>
        </w:rPr>
        <w:t>O sistema SafeNap foi desenvolvido em três camadas integradas — visão computacional e aprendizado de máquina no navegador, backend de interpretação de sensores e ponte de comunicação, e hardware de sensoriamento e atuação — sob o requisito de projeto de operar como dispositivo retrofit, isto é, sem dependência de uma arquitetura eletrônica veicular específica. Atualmente, a camada de visão roda em qualquer dispositivo com câmera e navegador moderno (notebook ou o próprio smartphone do condutor), e o backend roda em um notebook de desenvolvimento conectado ao Arduino por USB; a versão de produção substituiria esse notebook por um computador embarcado de baixo custo (ex.: Raspberry Pi), listado como trabalho futuro.</w:t>
      </w:r>
    </w:p>
    <w:p>
      <w:pPr>
        <w:jc w:val="center"/>
      </w:pPr>
      <w:r>
        <w:drawing>
          <wp:inline xmlns:a="http://schemas.openxmlformats.org/drawingml/2006/main" xmlns:pic="http://schemas.openxmlformats.org/drawingml/2006/picture">
            <wp:extent cx="5486400" cy="2975675"/>
            <wp:docPr id="3" name="Picture 3"/>
            <wp:cNvGraphicFramePr>
              <a:graphicFrameLocks noChangeAspect="1"/>
            </wp:cNvGraphicFramePr>
            <a:graphic>
              <a:graphicData uri="http://schemas.openxmlformats.org/drawingml/2006/picture">
                <pic:pic>
                  <pic:nvPicPr>
                    <pic:cNvPr id="0" name="p3_img0_xref31.png"/>
                    <pic:cNvPicPr/>
                  </pic:nvPicPr>
                  <pic:blipFill>
                    <a:blip r:embed="rId11"/>
                    <a:stretch>
                      <a:fillRect/>
                    </a:stretch>
                  </pic:blipFill>
                  <pic:spPr>
                    <a:xfrm>
                      <a:off x="0" y="0"/>
                      <a:ext cx="5486400" cy="2975675"/>
                    </a:xfrm>
                    <a:prstGeom prst="rect"/>
                  </pic:spPr>
                </pic:pic>
              </a:graphicData>
            </a:graphic>
          </wp:inline>
        </w:drawing>
      </w:r>
    </w:p>
    <w:p>
      <w:pPr>
        <w:spacing w:after="240"/>
        <w:jc w:val="center"/>
      </w:pPr>
      <w:r>
        <w:rPr>
          <w:rFonts w:ascii="Times New Roman" w:hAnsi="Times New Roman"/>
          <w:b w:val="0"/>
          <w:i/>
          <w:sz w:val="20"/>
        </w:rPr>
        <w:t>Figura 1 — Arquitetura do SafeNap: fluxo de dados entre navegador (visão computacional e ML), backend (fusão de sinais e ponte serial) e Arduino Nano (atuação e leitura do FSR).</w:t>
      </w:r>
    </w:p>
    <w:p>
      <w:pPr>
        <w:spacing w:after="160"/>
        <w:jc w:val="both"/>
      </w:pPr>
      <w:r>
        <w:rPr>
          <w:rFonts w:ascii="Times New Roman" w:hAnsi="Times New Roman"/>
          <w:b/>
          <w:i w:val="0"/>
          <w:sz w:val="22"/>
        </w:rPr>
        <w:t xml:space="preserve">Camada de Visão e Aprendizado de Máquina (Frontend). </w:t>
      </w:r>
      <w:r>
        <w:rPr>
          <w:rFonts w:ascii="Times New Roman" w:hAnsi="Times New Roman"/>
          <w:b w:val="0"/>
          <w:i w:val="0"/>
          <w:sz w:val="22"/>
        </w:rPr>
        <w:t>Utilizou-se React 19 com Vite e TypeScript, executando a biblioteca MediaPipe FaceLandmarker (@mediapipe/tasks-vision) (LUGARESI et al., 2019) inteiramente no navegador via WebAssembly, sem envio de vídeo a qualquer servidor. A cada quadro, 478 pontos faciais são extraídos e utilizados para calcular o Eye Aspect Ratio (EAR, com distâncias 3D para invariância à pose da cabeça), a razão de abertura da boca (bocejo), a queda do nariz (cabeça abaixando) e o PERCLOS em janela deslizante de 60 segundos. Um detector dedicado de micro-sono (EAR muito baixo sustentado por ≥1,8s) e um detector de tendência de queda do EAR (fase prodrômica, calibrada por baseline individual) complementam a máquina de estados de três níveis (normal, aviso, alarme). Um extrator de features computa um vetor de 18 características sobre uma janela de 10 quadros, alimentando um classificador Random Forest compacto (formato ONNX, &lt;100KB, sem quantização — árvores de decisão não possuem operadores quantizáveis) executado localmente via onnxruntime-web. Este classificador é experimental: foi treinado sobre dados sintéticos gerados programaticamente, não sobre condutores reais, e atua apenas como sinal auxiliar que nunca origina um alarme sozinho. O pipeline de ingestão, extração de features (leitura de vídeo via OpenCV — BRADSKI, 2000) e treinamento para os datasets públicos NTHU-DDD e UTA-RLDD já está implementado; o treinamento efetivo sobre esses dados reais permanece como trabalho futuro (ver Conclusões); opcionalmente, um classificador por usuário (CART/Random Forest em JavaScript puro, sem dependências externas) pode ser treinado localmente a partir dos dados de calibração. O modo híbrido combina as saídas de regras e do modelo de ML.</w:t>
      </w:r>
    </w:p>
    <w:p>
      <w:pPr>
        <w:spacing w:after="160"/>
        <w:jc w:val="both"/>
      </w:pPr>
      <w:r>
        <w:rPr>
          <w:rFonts w:ascii="Times New Roman" w:hAnsi="Times New Roman"/>
          <w:b/>
          <w:i w:val="0"/>
          <w:sz w:val="22"/>
        </w:rPr>
        <w:t xml:space="preserve">Cálculo do EAR e Pontos Faciais Utilizados. </w:t>
      </w:r>
      <w:r>
        <w:rPr>
          <w:rFonts w:ascii="Times New Roman" w:hAnsi="Times New Roman"/>
          <w:b w:val="0"/>
          <w:i w:val="0"/>
          <w:sz w:val="22"/>
        </w:rPr>
        <w:t>O EAR de cada olho é calculado pela razão entre a soma de quatro distâncias verticais e quatro vezes a distância horizontal do olho — EAR = (d1+d2+d3+d4) / (4×dh) —, com todas as distâncias calculadas em 3D (eixos x, y, z fornecidos pelo MediaPipe) para reduzir a sensibilidade à inclinação da cabeça, uma extensão da formulação original de Soukupová e Čech (2016), que emprega apenas 2D e um par vertical por olho. Os índices de landmark utilizados (numeração do MediaPipe FaceLandmarker, 478 pontos) são: olho esquerdo — cantos nos índices 33 e 133, pares verticais (158,153), (160,144), (159,145) e (157,154); olho direito — cantos nos índices 263 e 362, pares verticais (387,373), (385,380), (386,374) e (388,390); ponta do nariz no índice 1 e queixo no índice 152; boca com topo/base nos índices 13/14 e cantos nos índices 61/291. Os dois olhos são combinados por uma função robusta a oclusão parcial: quando a razão entre o menor e o maior EAR cai abaixo de 0,55 (indicativo de reflexo em lente de óculos ou sombra atingindo um só olho), adota-se o EAR do olho mais aberto, sob a premissa de que sonolência real fecha ambos os olhos, não apenas um.</w:t>
      </w:r>
    </w:p>
    <w:p>
      <w:pPr>
        <w:spacing w:after="160"/>
        <w:jc w:val="both"/>
      </w:pPr>
      <w:r>
        <w:rPr>
          <w:rFonts w:ascii="Times New Roman" w:hAnsi="Times New Roman"/>
          <w:b/>
          <w:i w:val="0"/>
          <w:sz w:val="22"/>
        </w:rPr>
        <w:t xml:space="preserve">Calibração do Limiar de EAR. </w:t>
      </w:r>
      <w:r>
        <w:rPr>
          <w:rFonts w:ascii="Times New Roman" w:hAnsi="Times New Roman"/>
          <w:b w:val="0"/>
          <w:i w:val="0"/>
          <w:sz w:val="22"/>
        </w:rPr>
        <w:t>Em vez de um limiar fixo, o sistema conduz uma calibração bifásica guiada por assistente antes do uso: coleta-se a mediana do EAR com os olhos abertos (mínimo 20 amostras, ~2s) e outra com os olhos fechados (mínimo 20 amostras), descartando-se a calibração quando a diferença entre as duas medianas é inferior a 0,05 (indício de que o usuário não fechou os olhos de fato). O limiar é definido como a média das duas medianas, limitado ao intervalo [0,12; 0,45]. A necessidade de calibração por pessoa — em vez de um valor fixo da literatura, como 0,25 (SOUKUPOVA; CECH, 2016) — é sustentada empiricamente na seção Resultados, onde a mesma lógica de classificação, testada com um limiar único não calibrado contra um dataset de rostos humanos reais, apresenta precisão sensivelmente inferior à obtida com o limiar calibrado.</w:t>
      </w:r>
    </w:p>
    <w:p>
      <w:pPr>
        <w:spacing w:after="160"/>
        <w:jc w:val="both"/>
      </w:pPr>
      <w:r>
        <w:rPr>
          <w:rFonts w:ascii="Times New Roman" w:hAnsi="Times New Roman"/>
          <w:b/>
          <w:i w:val="0"/>
          <w:sz w:val="22"/>
        </w:rPr>
        <w:t xml:space="preserve">Sensor de Pressão e Backend (Grip Monitor). </w:t>
      </w:r>
      <w:r>
        <w:rPr>
          <w:rFonts w:ascii="Times New Roman" w:hAnsi="Times New Roman"/>
          <w:b w:val="0"/>
          <w:i w:val="0"/>
          <w:sz w:val="22"/>
        </w:rPr>
        <w:t>Um sensor de força resistiva FSR-402, montado na empunhadura simulada de um volante, é lido pelo Arduino Nano e transmitido ao backend Python (FastAPI) por streaming serial periódico (a cada 200ms). O módulo GripMonitor calibra uma linha de base adaptativa da pressão por média móvel exponencial — congelada durante uma eventual queda, para não absorver o próprio evento como novo normal — e aplica histerese (perda da empunhadura abaixo de 35% da linha de base; recuperação apenas acima de 60%) e debounce temporal (queda sustentada por ≥500ms gera aviso; por ≥1000ms gera alarme, replicando a tolerância de 1 segundo do protótipo original), sem qualquer processamento de imagem envolvido nessa camada. Diferente do cálculo de EAR, a leitura crua do FSR não passa por um filtro de suavização antes da comparação com o limiar — apenas a linha de base é suavizada por média móvel exponencial; a rejeição de ruído momentâneo depende exclusivamente do debounce temporal, uma limitação de projeto registrada aqui para trabalhos futuros. Diferente do firmware original, que desligava o alerta automaticamente após 10 segundos independentemente de a mão ter voltado ao volante, o alarme atual permanece ativo enquanto a queda persistir — silenciável a qualquer momento por confirmação explícita do usuário — mas, após 30 segundos ininterruptos sem pressão, libera-se sozinho para o estado normal: um teto deliberadamente bem maior que o do firmware original, pensado para um sensor físico que pode ficar sem ninguém segurando por longos períodos (por exemplo, entre demonstrações do protótipo), não para tolerar sonolência real prolongada.</w:t>
      </w:r>
    </w:p>
    <w:p>
      <w:pPr>
        <w:spacing w:after="160"/>
        <w:jc w:val="both"/>
      </w:pPr>
      <w:r>
        <w:rPr>
          <w:rFonts w:ascii="Times New Roman" w:hAnsi="Times New Roman"/>
          <w:b/>
          <w:i w:val="0"/>
          <w:sz w:val="22"/>
        </w:rPr>
        <w:t xml:space="preserve">Camada de Atuação (Arduino Nano). </w:t>
      </w:r>
      <w:r>
        <w:rPr>
          <w:rFonts w:ascii="Times New Roman" w:hAnsi="Times New Roman"/>
          <w:b w:val="0"/>
          <w:i w:val="0"/>
          <w:sz w:val="22"/>
        </w:rPr>
        <w:t>O Arduino Nano (ATmega328P, 16MHz) recebe apenas comandos textuais simples via porta serial (9600 bps) — ALARM_ON/OFF, VIBRATION_ON/OFF e STATUS — para acionar um buzzer piezoelétrico, quatro motores de vibração de 3V DC e o LED embutido da placa; nenhuma lógica de decisão sobre sonolência é executada no firmware, que também responde a um health check periódico (ping/pong a cada 10s) usado pelo backend para detectar travamentos.</w:t>
      </w:r>
    </w:p>
    <w:p>
      <w:pPr>
        <w:spacing w:after="160"/>
        <w:jc w:val="both"/>
      </w:pPr>
      <w:r>
        <w:rPr>
          <w:rFonts w:ascii="Times New Roman" w:hAnsi="Times New Roman"/>
          <w:b/>
          <w:i w:val="0"/>
          <w:sz w:val="22"/>
        </w:rPr>
        <w:t xml:space="preserve">Integração, Fusão de Sinais e Segurança. </w:t>
      </w:r>
      <w:r>
        <w:rPr>
          <w:rFonts w:ascii="Times New Roman" w:hAnsi="Times New Roman"/>
          <w:b w:val="0"/>
          <w:i w:val="0"/>
          <w:sz w:val="22"/>
        </w:rPr>
        <w:t>A comunicação entre navegador e backend ocorre via WebSocket (mensagens JSON), protegida por autenticação com token compartilhado (cabeçalho Bearer ou parâmetro de consulta), impedindo que dispositivos não autorizados na rede local acionem o hardware ou assumam o papel de detector. O SafetyManager do backend mantém duas fontes de sinal independentes — visão/ML (eventos recebidos do navegador) e pressão de empunhadura (GripMonitor) — fundidas em lógica OR por severidade: o estado efetivo do sistema (normal, aviso ou alarme) é sempre o mais grave entre as duas fontes, e nenhuma consegue suprimir um alarme ativo originado pela outra. Um watchdog desliga automaticamente o hardware caso nenhum evento de segurança seja recebido por mais de 15 segundos, protegendo contra travamentos ou fechamento inesperado da aba do navegador. A escolha da lógica OR — em vez de exigir concordância entre as duas fontes (lógica AND) — reflete o custo assimétrico dos erros num sistema de segurança: um falso negativo (deixar de alertar sonolência real) é mais grave que um falso positivo (alertar sem necessidade), de modo que maximizar a sensibilidade do sistema é a escolha de projeto apropriada, mesmo ao custo de uma taxa maior de falsos positivos.</w:t>
      </w:r>
    </w:p>
    <w:p>
      <w:pPr>
        <w:spacing w:after="160"/>
        <w:jc w:val="both"/>
      </w:pPr>
      <w:r>
        <w:rPr>
          <w:rFonts w:ascii="Times New Roman" w:hAnsi="Times New Roman"/>
          <w:b/>
          <w:i w:val="0"/>
          <w:sz w:val="22"/>
        </w:rPr>
        <w:t xml:space="preserve">Validação. </w:t>
      </w:r>
      <w:r>
        <w:rPr>
          <w:rFonts w:ascii="Times New Roman" w:hAnsi="Times New Roman"/>
          <w:b w:val="0"/>
          <w:i w:val="0"/>
          <w:sz w:val="22"/>
        </w:rPr>
        <w:t>A lógica de fusão, calibração, parsing serial e autenticação foi coberta por uma suíte de testes automatizados: testes unitários e de integração em Python (pytest) para o backend, testes unitários em TypeScript (Vitest) para os módulos de visão, ML e sincronização do frontend, e uma suíte End-to-End (Playwright) para os fluxos do painel — totalizando 371 casos de teste (220 no frontend, 136 no backend, 15 end-to-end) executados de forma determinística a cada alteração de código, todos passando nesta revisão.</w:t>
      </w:r>
    </w:p>
    <w:p>
      <w:pPr>
        <w:spacing w:after="160"/>
        <w:jc w:val="both"/>
      </w:pPr>
      <w:r>
        <w:rPr>
          <w:rFonts w:ascii="Times New Roman" w:hAnsi="Times New Roman"/>
          <w:b/>
          <w:i w:val="0"/>
          <w:sz w:val="22"/>
        </w:rPr>
        <w:t xml:space="preserve">Protocolo de Validação Empírica. </w:t>
      </w:r>
      <w:r>
        <w:rPr>
          <w:rFonts w:ascii="Times New Roman" w:hAnsi="Times New Roman"/>
          <w:b w:val="0"/>
          <w:i w:val="0"/>
          <w:sz w:val="22"/>
        </w:rPr>
        <w:t>Definem-se, para fins de avaliação: verdadeiro positivo (VP) — o sistema aciona aviso ou alarme quando a condição correspondente está de fato presente; falso positivo (FP) — aciona aviso/alarme sem a condição presente; verdadeiro negativo (VN) — permanece em estado normal corretamente; falso negativo (FN) — deixa de acionar aviso/alarme com a condição presente. Três instrumentos complementares foram empregados: (i) uma bateria de 37 cenários sintéticos (15 da máquina de estados, 11 do sensor de pressão isolado e 11 do sistema integrado), com verdade-fundamental atribuída a partir das faixas fisiológicas e dos limiares documentados, executados contra a implementação real com relógio controlado, produzindo matrizes de confusão que verificam a correspondência entre código e especificação — não entre especificação e fisiologia humana real; (ii) uma comparação da classificação binária olho-aberto/fechado por EAR contra o dataset público CEW (Closed Eyes in the Wild, NUAA — SONG et al., 2014), com rótulos de pessoas reais, cobrindo a lacuna de dados humanos que o item anterior não cobre; (iii) medição de latência real e decomposta por etapa do pipeline completo (navegador, backend, comunicação), em vez de estimativa.</w:t>
      </w:r>
    </w:p>
    <w:p>
      <w:pPr>
        <w:spacing w:after="120" w:before="200"/>
        <w:jc w:val="left"/>
      </w:pPr>
      <w:r>
        <w:rPr>
          <w:rFonts w:ascii="Times New Roman" w:hAnsi="Times New Roman"/>
          <w:b/>
          <w:i w:val="0"/>
          <w:sz w:val="22"/>
        </w:rPr>
        <w:t>RESULTADOS E DISCUSSÃO</w:t>
      </w:r>
    </w:p>
    <w:p>
      <w:pPr>
        <w:spacing w:after="160"/>
        <w:jc w:val="both"/>
      </w:pPr>
      <w:r>
        <w:rPr>
          <w:rFonts w:ascii="Times New Roman" w:hAnsi="Times New Roman"/>
          <w:b w:val="0"/>
          <w:i w:val="0"/>
          <w:sz w:val="22"/>
        </w:rPr>
        <w:t>Nas etapas iniciais de desenvolvimento — firmware com um único sensor FSR-402 (limiar fixo, tolerância de 1 segundo sem pressão e corte automático do alerta após 10 segundos, com toda a lógica de fusão executada no próprio Arduino) integrado a um script Python de visão computacional executado localmente — foram realizadas 15 simulações qualitativas de sonolência em bancada, com acionamento correto dos quatro motores de vibração e do buzzer em todos os casos e latência estimada inferior a 100 ms. A migração subsequente para a arquitetura web distribuída manteve o mesmo sensor e o mesmo limiar temporal de referência (1 segundo), mas moveu a interpretação do sinal para um módulo dedicado no backend (GripMonitor), com calibração adaptativa no lugar do limiar fixo e sem o corte automático do alerta — uma decisão deliberada de segurança, não uma limitação. Essa migração motivou uma nova rodada de validação apoiada em uma suíte de testes automatizados.</w:t>
      </w:r>
    </w:p>
    <w:p>
      <w:pPr>
        <w:spacing w:after="160"/>
        <w:jc w:val="both"/>
      </w:pPr>
      <w:r>
        <w:rPr>
          <w:rFonts w:ascii="Times New Roman" w:hAnsi="Times New Roman"/>
          <w:b w:val="0"/>
          <w:i w:val="0"/>
          <w:sz w:val="22"/>
        </w:rPr>
        <w:t>A latência do pipeline foi medida — não estimada — por etapa: o cálculo de EAR e regras no navegador consome em média 0,002 ms (banco de desempenho com Vitest, N=233874 amostras), o processamento do evento de segurança no backend consome em média 0,097 ms (Python, N=2000 amostras, serial mockado), e a comunicação WebSocket de ida e volta com o backend real (não mockado) consome em média 0,085 ms (N=200, medido em loopback). O único componente calculado — não medido, por ausência de hardware físico neste ambiente — é a transmissão serial USB ao Arduino: à taxa de 9600 bps, o comando ALARM_ON leva aproximadamente 9,4 ms para ser transmitido (fórmula 8N1). A soma dos componentes de software é inferior a 0,2 ms; o maior componente calculável é a transmissão serial, que domina o orçamento de latência total. Não foi medida a etapa de extração de landmarks pelo MediaPipe (roda no navegador do usuário, depende do hardware/browser dele) nem a latência de rede real de um veículo em movimento — ambas permanecem como validação de campo necessária.</w:t>
      </w:r>
    </w:p>
    <w:p>
      <w:pPr>
        <w:spacing w:after="160"/>
        <w:jc w:val="both"/>
      </w:pPr>
      <w:r>
        <w:rPr>
          <w:rFonts w:ascii="Times New Roman" w:hAnsi="Times New Roman"/>
          <w:b w:val="0"/>
          <w:i w:val="0"/>
          <w:sz w:val="22"/>
        </w:rPr>
        <w:t>A lógica de decisão da máquina de estados foi verificada por uma bateria de 15 cenários sintéticos, cada um representando uma faixa fisiologicamente plausível documentada (duração de piscada normal, entre 50 e 400 ms; fechamento prolongado, acima de 700 ms para aviso e 1500 ms para alarme; micro-sono agudo, EAR abaixo de 55% do limiar sustentado por 1800 ms; bocejo, abertura bucal sustentada por 400 ms; queda de cabeça sustentada por 2000 ms; ausência de rosto sustentada por 5000 ms; tendência de declínio do EAR, 18% abaixo do baseline calibrado). A matriz de confusão binária (alerta versus sem alerta) resultante apresentou precisão, recall e F1 de 1,000 sobre os 15 cenários. É importante destacar que isso verifica que o código implementa corretamente sua própria especificação, não que os limiares escolhidos correspondem à sonolência real de uma pessoa; essa segunda validação é tratada a seguir.</w:t>
      </w:r>
    </w:p>
    <w:p>
      <w:pPr>
        <w:spacing w:after="160"/>
        <w:jc w:val="both"/>
      </w:pPr>
      <w:r>
        <w:rPr>
          <w:rFonts w:ascii="Times New Roman" w:hAnsi="Times New Roman"/>
          <w:b w:val="0"/>
          <w:i w:val="0"/>
          <w:sz w:val="22"/>
        </w:rPr>
        <w:t>Para uma validação parcial com dados humanos reais, a classificação binária olho-aberto/olho-fechado por EAR foi comparada contra o dataset público CEW (Closed Eyes in the Wild, NUAA), composto por fotografias de rosto inteiro de 2425 pessoas (1193 com olhos fechados, 1232 com olhos abertos). O mesmo pipeline de produção (MediaPipe FaceLandmarker, mesma fórmula de EAR) processou as imagens em Python; 36 imagens (1,5%) não tiveram rosto detectado pelo MediaPipe e foram excluídas, restando 2387 amostras. Com o limiar calibrado usado na bateria sintética (0,21), obteve-se acurácia de 90,5%, precisão de 84,0%, recall de 99,3% e F1 de 0,910; com o limiar fixo da literatura (0,25), acurácia de 82,0%, precisão de 73,1%, recall de 99,7% e F1 de 0,844. O recall elevado (&gt;99% em ambos os limiares) indica que o sistema raramente deixa de identificar um olho realmente fechado — a característica mais relevante para um sistema de segurança, em que um falso negativo é mais custoso que um falso positivo. A precisão mais baixa com um limiar único global (compartilhado entre as 2425 pessoas do dataset) é evidência empírica direta de por que a calibração individual, já implementada em produção, é necessária: o formato do olho varia entre pessoas, e um limiar calibrado por indivíduo deve superar os números aqui reportados, que representam o cenário mais pessimista (sem calibração pessoal), não a experiência do usuário real calibrado.</w:t>
      </w:r>
    </w:p>
    <w:p>
      <w:pPr>
        <w:spacing w:after="160"/>
        <w:jc w:val="both"/>
      </w:pPr>
      <w:r>
        <w:rPr>
          <w:rFonts w:ascii="Times New Roman" w:hAnsi="Times New Roman"/>
          <w:b w:val="0"/>
          <w:i w:val="0"/>
          <w:sz w:val="22"/>
        </w:rPr>
        <w:t>De forma independente, o módulo de interpretação do sensor de pressão (GripMonitor) foi verificado por uma bateria própria de 11 cenários sintéticos (queda breve sem confirmação, quedas sustentadas nos dois limiares de severidade, recuperação total e parcial com histerese, deriva lenta da linha de base, alarme ainda ativo bem além do corte de 10s do firmware original, e liberação automática após 30 segundos ininterruptos sem pressão), com precisão, recall e F1 de 1,000. Não foi identificado um dataset público de pressão de empunhadura veicular rotulado equivalente ao CEW para a visão computacional; a validação do FSR com dados humanos reais permanece, portanto, como trabalho futuro.</w:t>
      </w:r>
    </w:p>
    <w:p>
      <w:pPr>
        <w:spacing w:after="160"/>
        <w:jc w:val="both"/>
      </w:pPr>
      <w:r>
        <w:rPr>
          <w:rFonts w:ascii="Times New Roman" w:hAnsi="Times New Roman"/>
          <w:b w:val="0"/>
          <w:i w:val="0"/>
          <w:sz w:val="22"/>
        </w:rPr>
        <w:t>A fusão do sistema integrado (visão e FSR combinados no SafetyManager) foi verificada por uma terceira bateria de 11 cenários, também com precisão, recall e F1 de 1,000. Estes cenários focam especificamente a garantia central do artigo: em nenhum caso testado uma fonte de sinal conseguiu suprimir um alarme ativo originado pela outra — nem a garra normalizando durante um alarme de visão, nem a visão terminando durante um alarme de garra —, e o estado efetivo do sistema só retorna a normal quando ambas as fontes o confirmam.</w:t>
      </w:r>
    </w:p>
    <w:p>
      <w:pPr>
        <w:spacing w:after="160"/>
        <w:jc w:val="both"/>
      </w:pPr>
      <w:r>
        <w:rPr>
          <w:rFonts w:ascii="Times New Roman" w:hAnsi="Times New Roman"/>
          <w:b w:val="0"/>
          <w:i w:val="0"/>
          <w:sz w:val="22"/>
        </w:rPr>
        <w:t>Ao todo, as três baterias sintéticas somam 37 cenários — todos dentro dos 371 testes automatizados citados na Metodologia (seção Validação) —, cobrindo máquina de estados, sensor de pressão isolado e o sistema integrado, respectivamente.</w:t>
      </w:r>
    </w:p>
    <w:p>
      <w:pPr>
        <w:spacing w:after="160"/>
        <w:jc w:val="both"/>
      </w:pPr>
      <w:r>
        <w:rPr>
          <w:rFonts w:ascii="Times New Roman" w:hAnsi="Times New Roman"/>
          <w:b w:val="0"/>
          <w:i w:val="0"/>
          <w:sz w:val="22"/>
        </w:rPr>
        <w:t>Como limitação desta etapa, tanto a validação com o CEW quanto as baterias sintéticas de garra e de fusão cobrem apenas cenários controlados e reprodutíveis — nenhuma delas avalia o sistema em condições dinâmicas de condução real, com variação de iluminação e ângulo de câmera automotivos, vibração do veículo afetando a leitura do FSR, ou mãos apoiadas de formas atípicas no volante. A validação de campo com condutores reais — incluindo taxas de falso positivo/negativo do sistema completo em condução real — permanece como trabalho futuro (Conclusões).</w:t>
      </w:r>
    </w:p>
    <w:p>
      <w:pPr>
        <w:spacing w:after="120" w:before="200"/>
        <w:jc w:val="left"/>
      </w:pPr>
      <w:r>
        <w:rPr>
          <w:rFonts w:ascii="Times New Roman" w:hAnsi="Times New Roman"/>
          <w:b/>
          <w:i w:val="0"/>
          <w:sz w:val="22"/>
        </w:rPr>
        <w:t>CONCLUSÕES</w:t>
      </w:r>
    </w:p>
    <w:p>
      <w:pPr>
        <w:spacing w:after="160"/>
        <w:jc w:val="both"/>
      </w:pPr>
      <w:r>
        <w:rPr>
          <w:rFonts w:ascii="Times New Roman" w:hAnsi="Times New Roman"/>
          <w:b w:val="0"/>
          <w:i w:val="0"/>
          <w:sz w:val="22"/>
        </w:rPr>
        <w:t>O SafeNap evoluiu de um protótipo de bancada com sensoriamento embarcado (Arduino Uno, FSR-402 e um script Python executado localmente) para uma arquitetura web distribuída, concebida como dispositivo retrofit independente da eletrônica veicular, que separa processamento de visão computacional e aprendizado de máquina (navegador), interpretação de sensores (backend Python) e atuação física (Arduino Nano). A fusão em lógica OR entre o sinal de visão/ML e o sinal de pressão na empunhadura do volante foi verificada por três baterias sintéticas independentes — visão, garra e fusão —, todas com precisão e recall de 1,000, demonstrando que a implementação é consistente com sua própria especificação. A validação independente do EAR contra um dataset de 2425 rostos humanos reais (recall de 99,3% na detecção de olhos fechados) fornece evidência adicional, com dados reais, de que o sinal de visão generaliza além do ambiente de teste sintético — evidência com dados humanos reais que ainda não existe para o sinal de pressão FSR nem para a fusão completa, por não haver um dataset público equivalente ao CEW para pressão de empunhadura veicular.</w:t>
      </w:r>
    </w:p>
    <w:p>
      <w:pPr>
        <w:spacing w:after="160"/>
        <w:jc w:val="both"/>
      </w:pPr>
      <w:r>
        <w:rPr>
          <w:rFonts w:ascii="Times New Roman" w:hAnsi="Times New Roman"/>
          <w:b w:val="0"/>
          <w:i w:val="0"/>
          <w:sz w:val="22"/>
        </w:rPr>
        <w:t>Do ponto de vista social, o uso de uma câmera comum e de sensores de baixo custo (FSR-402), sem exigir hardware embarcado dedicado ao processamento de visão, mantém a contribuição do SafeNap para a democratização do acesso a tecnologias de segurança veicular — e sua concepção como dispositivo retrofit amplia essa contribuição a veículos que não dispõem de monitoramento de fadiga de fábrica. Como trabalhos futuros, recomenda-se: (i) validação de campo com hardware físico e condutores reais, incluindo latência ponta-a-ponta medida (não calculada) e taxas de falso positivo/negativo do sistema completo (visão + FSR fundidos) em condução dinâmica; (ii) extensão da validação com dados reais realizada neste trabalho (dataset CEW, estático) para vídeo dinâmico e datasets de sonolência propriamente ditos (NTHU-DDD, UTA-RLDD), sujeitos a aprovação acadêmica de acesso; (iii) integração de câmera infravermelha para operação noturna; e (iv) empacotamento completo do backend como computador embarcado de baixo custo (ex.: Raspberry Pi), consolidando a arquitetura retrofit — etapa já iniciada com um lançador dedicado para Windows.</w:t>
      </w:r>
    </w:p>
    <w:p>
      <w:pPr>
        <w:spacing w:after="120" w:before="200"/>
        <w:jc w:val="left"/>
      </w:pPr>
      <w:r>
        <w:rPr>
          <w:rFonts w:ascii="Times New Roman" w:hAnsi="Times New Roman"/>
          <w:b/>
          <w:i w:val="0"/>
          <w:sz w:val="22"/>
        </w:rPr>
        <w:t>CONTRIBUIÇÕES DOS AUTORES</w:t>
      </w:r>
    </w:p>
    <w:p>
      <w:pPr>
        <w:spacing w:after="160"/>
        <w:jc w:val="both"/>
      </w:pPr>
      <w:r>
        <w:rPr>
          <w:rFonts w:ascii="Times New Roman" w:hAnsi="Times New Roman"/>
          <w:b w:val="0"/>
          <w:i w:val="0"/>
          <w:sz w:val="22"/>
        </w:rPr>
        <w:t>L.C.M. e J.S.M. contribuíram com a conceitualização, metodologia e montagem dos experimentos de hardware (Arduino e sensores). L.C.M. liderou o desenvolvimento do frontend web (React, visão computacional e aprendizado de máquina no navegador) e do backend (FastAPI, comunicação serial e fusão de sinais). Ambos os autores participaram da validação do protótipo, da elaboração da suíte de testes automatizados, e atuaram na redação, revisão do manuscrito e aprovação da versão submetida.</w:t>
      </w:r>
    </w:p>
    <w:p>
      <w:pPr>
        <w:spacing w:after="120" w:before="200"/>
        <w:jc w:val="left"/>
      </w:pPr>
      <w:r>
        <w:rPr>
          <w:rFonts w:ascii="Times New Roman" w:hAnsi="Times New Roman"/>
          <w:b/>
          <w:i w:val="0"/>
          <w:sz w:val="22"/>
        </w:rPr>
        <w:t>AGRADECIMENTOS</w:t>
      </w:r>
    </w:p>
    <w:p>
      <w:pPr>
        <w:spacing w:after="160"/>
        <w:jc w:val="both"/>
      </w:pPr>
      <w:r>
        <w:rPr>
          <w:rFonts w:ascii="Times New Roman" w:hAnsi="Times New Roman"/>
          <w:b w:val="0"/>
          <w:i w:val="0"/>
          <w:sz w:val="22"/>
        </w:rPr>
        <w:t>Agradecemos primeiramente a todos que contribuíram, direta ou indiretamente, para o desenvolvimento deste projeto.</w:t>
      </w:r>
    </w:p>
    <w:p>
      <w:pPr>
        <w:spacing w:after="160"/>
        <w:jc w:val="both"/>
      </w:pPr>
      <w:r>
        <w:rPr>
          <w:rFonts w:ascii="Times New Roman" w:hAnsi="Times New Roman"/>
          <w:b w:val="0"/>
          <w:i w:val="0"/>
          <w:sz w:val="22"/>
        </w:rPr>
        <w:t xml:space="preserve">Agradecemos especialmente ao nosso orientador, </w:t>
      </w:r>
      <w:r>
        <w:rPr>
          <w:rFonts w:ascii="Times New Roman" w:hAnsi="Times New Roman"/>
          <w:b/>
          <w:i w:val="0"/>
          <w:sz w:val="22"/>
        </w:rPr>
        <w:t>Eduardo André Mossin</w:t>
      </w:r>
      <w:r>
        <w:rPr>
          <w:rFonts w:ascii="Times New Roman" w:hAnsi="Times New Roman"/>
          <w:b w:val="0"/>
          <w:i w:val="0"/>
          <w:sz w:val="22"/>
        </w:rPr>
        <w:t>, pela orientação, dedicação e pelo suporte oferecido ao longo de todo o desenvolvimento do projeto, contribuindo de forma significativa para a realização e aprimoramento do trabalho.</w:t>
      </w:r>
    </w:p>
    <w:p>
      <w:pPr>
        <w:spacing w:after="160"/>
        <w:jc w:val="both"/>
      </w:pPr>
      <w:r>
        <w:rPr>
          <w:rFonts w:ascii="Times New Roman" w:hAnsi="Times New Roman"/>
          <w:b w:val="0"/>
          <w:i w:val="0"/>
          <w:sz w:val="22"/>
        </w:rPr>
        <w:t xml:space="preserve">Agradecemos também a </w:t>
      </w:r>
      <w:r>
        <w:rPr>
          <w:rFonts w:ascii="Times New Roman" w:hAnsi="Times New Roman"/>
          <w:b/>
          <w:i w:val="0"/>
          <w:sz w:val="22"/>
        </w:rPr>
        <w:t>Luiz Felipe de Araújo Mazzer</w:t>
      </w:r>
      <w:r>
        <w:rPr>
          <w:rFonts w:ascii="Times New Roman" w:hAnsi="Times New Roman"/>
          <w:b w:val="0"/>
          <w:i w:val="0"/>
          <w:sz w:val="22"/>
        </w:rPr>
        <w:t>, pelo auxílio no desenvolvimento e na fabricação da placa de circuito impresso (PCB), possibilitando a montagem e a soldagem dos componentes necessários para a implementação do projeto.</w:t>
      </w:r>
    </w:p>
    <w:p>
      <w:pPr>
        <w:spacing w:after="160"/>
        <w:jc w:val="both"/>
      </w:pPr>
      <w:r>
        <w:rPr>
          <w:rFonts w:ascii="Times New Roman" w:hAnsi="Times New Roman"/>
          <w:b w:val="0"/>
          <w:i w:val="0"/>
          <w:sz w:val="22"/>
        </w:rPr>
        <w:t>Por fim, agradecemos a todos que, de alguma forma, contribuíram para a realização deste trabalho e para nossa formação acadêmica e profissional.</w:t>
      </w:r>
    </w:p>
    <w:p>
      <w:pPr>
        <w:spacing w:after="120" w:before="200"/>
        <w:jc w:val="left"/>
      </w:pPr>
      <w:r>
        <w:rPr>
          <w:rFonts w:ascii="Times New Roman" w:hAnsi="Times New Roman"/>
          <w:b/>
          <w:i w:val="0"/>
          <w:sz w:val="22"/>
        </w:rPr>
        <w:t>REFERÊNCIAS</w:t>
      </w:r>
    </w:p>
    <w:p>
      <w:pPr>
        <w:spacing w:after="160"/>
        <w:jc w:val="both"/>
      </w:pPr>
      <w:r>
        <w:rPr>
          <w:rFonts w:ascii="Times New Roman" w:hAnsi="Times New Roman"/>
          <w:b w:val="0"/>
          <w:i w:val="0"/>
          <w:sz w:val="22"/>
        </w:rPr>
        <w:t>BRADSKI, G. The OpenCV Library. Dr. Dobb’s Journal of Software Tools, v. 25, p. 120-123, 2000.</w:t>
      </w:r>
    </w:p>
    <w:p>
      <w:pPr>
        <w:spacing w:after="160"/>
        <w:jc w:val="both"/>
      </w:pPr>
      <w:r>
        <w:rPr>
          <w:rFonts w:ascii="Times New Roman" w:hAnsi="Times New Roman"/>
          <w:b w:val="0"/>
          <w:i w:val="0"/>
          <w:sz w:val="22"/>
        </w:rPr>
        <w:t>DEPARTAMENTO NACIONAL DE INFRAESTRUTURA DE TRANSPORTES (DNIT). Relatório de Acidentes em Rodovias Federais 2022. Brasília: DNIT, 2022.</w:t>
      </w:r>
    </w:p>
    <w:p>
      <w:pPr>
        <w:spacing w:after="160"/>
        <w:jc w:val="both"/>
      </w:pPr>
      <w:r>
        <w:rPr>
          <w:rFonts w:ascii="Times New Roman" w:hAnsi="Times New Roman"/>
          <w:b w:val="0"/>
          <w:i w:val="0"/>
          <w:sz w:val="22"/>
        </w:rPr>
        <w:t>LUGARESI, C. et al. MediaPipe: A Framework for Building Perception Pipelines. arXiv preprint arXiv:1906.08172, 2019.</w:t>
      </w:r>
    </w:p>
    <w:p>
      <w:pPr>
        <w:spacing w:after="160"/>
        <w:jc w:val="both"/>
      </w:pPr>
      <w:r>
        <w:rPr>
          <w:rFonts w:ascii="Times New Roman" w:hAnsi="Times New Roman"/>
          <w:b w:val="0"/>
          <w:i w:val="0"/>
          <w:sz w:val="22"/>
        </w:rPr>
        <w:t>ORGANIZAÇÃO MUNDIAL DA SAÚDE (OMS). Global Status Report on Road Safety 2023. Geneva: WHO, 2023.</w:t>
      </w:r>
    </w:p>
    <w:p>
      <w:pPr>
        <w:spacing w:after="160"/>
        <w:jc w:val="both"/>
      </w:pPr>
      <w:r>
        <w:rPr>
          <w:rFonts w:ascii="Times New Roman" w:hAnsi="Times New Roman"/>
          <w:b w:val="0"/>
          <w:i w:val="0"/>
          <w:sz w:val="22"/>
        </w:rPr>
        <w:t>SAHAYADHAS, A.; SUNDARAJ, K.; MURUGAPPAN, M. Detecting Driver Drowsiness Based on Sensors: A Review. Sensors, v. 12, n. 12, p. 16937-16953, 2012.</w:t>
      </w:r>
    </w:p>
    <w:p>
      <w:pPr>
        <w:spacing w:after="160"/>
        <w:jc w:val="both"/>
      </w:pPr>
      <w:r>
        <w:rPr>
          <w:rFonts w:ascii="Times New Roman" w:hAnsi="Times New Roman"/>
          <w:b w:val="0"/>
          <w:i w:val="0"/>
          <w:sz w:val="22"/>
        </w:rPr>
        <w:t>SONG, F.; TAN, X.; LIU, X.; CHEN, S. Eyes closeness detection from still images with multi-scale histograms of principal oriented gradients. Pattern Recognition, v. 47, n. 9, p. 2825-2838, 2014.</w:t>
      </w:r>
    </w:p>
    <w:p>
      <w:pPr>
        <w:spacing w:after="160"/>
        <w:jc w:val="both"/>
      </w:pPr>
      <w:r>
        <w:rPr>
          <w:rFonts w:ascii="Times New Roman" w:hAnsi="Times New Roman"/>
          <w:b w:val="0"/>
          <w:i w:val="0"/>
          <w:sz w:val="22"/>
        </w:rPr>
        <w:t>SOUKUPOVA, T.; CECH, J. Real-Time Eye Blink Detection using Facial Landmarks. In: 21st Computer Vision Winter Workshop. Rimske Toplice, Slovenia, 2016.</w:t>
      </w:r>
    </w:p>
    <w:sectPr w:rsidR="00FC693F" w:rsidRPr="0006063C" w:rsidSect="00034616">
      <w:footerReference w:type="default" r:id="rId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enter"/>
        <w:tab w:pos="9360" w:val="right"/>
      </w:tabs>
    </w:pPr>
    <w:r>
      <w:rPr>
        <w:rFonts w:ascii="Times New Roman" w:hAnsi="Times New Roman"/>
        <w:b w:val="0"/>
        <w:i w:val="0"/>
        <w:sz w:val="18"/>
      </w:rPr>
      <w:t>16º CONICT 2025</w:t>
    </w:r>
    <w:r>
      <w:rPr>
        <w:rFonts w:ascii="Times New Roman" w:hAnsi="Times New Roman"/>
        <w:b w:val="0"/>
        <w:i w:val="0"/>
        <w:sz w:val="18"/>
      </w:rPr>
      <w:tab/>
    </w:r>
    <w:r>
      <w:rPr>
        <w:rFonts w:ascii="Times New Roman" w:hAnsi="Times New Roman"/>
        <w:sz w:val="18"/>
      </w:rPr>
      <w:fldChar w:fldCharType="begin"/>
      <w:instrText xml:space="preserve">PAGE</w:instrText>
      <w:fldChar w:fldCharType="end"/>
    </w:r>
    <w:r>
      <w:rPr>
        <w:rFonts w:ascii="Times New Roman" w:hAnsi="Times New Roman"/>
        <w:b w:val="0"/>
        <w:i w:val="0"/>
        <w:sz w:val="18"/>
      </w:rPr>
      <w:tab/>
    </w:r>
    <w:r>
      <w:rPr>
        <w:rFonts w:ascii="Times New Roman" w:hAnsi="Times New Roman"/>
        <w:b w:val="0"/>
        <w:i w:val="0"/>
        <w:sz w:val="18"/>
      </w:rPr>
      <w:t>ISSN: 2178-9959</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