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Allston Brighton CDC Affordable Housing Portfolio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3150"/>
        <w:gridCol w:w="720"/>
        <w:gridCol w:w="3330"/>
        <w:gridCol w:w="3775"/>
        <w:tblGridChange w:id="0">
          <w:tblGrid>
            <w:gridCol w:w="1975"/>
            <w:gridCol w:w="3150"/>
            <w:gridCol w:w="720"/>
            <w:gridCol w:w="3330"/>
            <w:gridCol w:w="3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Property Name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Population Served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Ashford Street*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40-42 Ashford St. Allston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SRO’s and 1-1Bed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Income/DMH referrals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Brighton Allston Apartments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493-501 Washington Street, Brighton and 1387 Commonwealth Ave, Allston 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1-BR, 42 2-BR, 1-3BR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Brian J. Honan Apartments*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 Everett St. Allston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1-BR, 29 2-BR, 10 3-BR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Carol Ave Apartments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 10, and 12 Carol Avenue, Brighton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1-BR, 14 2-BR, 5 3-BR, 4 4-BR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 and some market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CommGlen Apartments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1285-1309 Commonwealth Avenue and 58-90 Glenville Avenue, Allston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235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Studios, 108 1-BR, 77 2_BR, 31 3-BR, 2 4-BR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Hano Homes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1-39 Hano Street, Allston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2-BR, 10 3-BR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 Glen (Ray Dooley Apartments)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114-118 Glenville Avenue and 10 Long Avenue, Allston 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Studios, 33 1-BR, 15 2-BR, 1 3-BR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 with DMH and other special populations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 Glen-2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48-52 Glenville Avenue, Allston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Studio, 13 1-BR, 19 2-BR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 and some market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Quint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Quint Avenue, Allston 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SRO’s and 1 manager unit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 disabled based on addiction recovery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Warren Hall*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329-343 Washington Street, Brighton, 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Studios, 30 1-BR, 2 2-BR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Income 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Rehab or Renovation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151B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151B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151B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151B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151B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151B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151B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151B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151B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151B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151B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151B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151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151B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151B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151B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151B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151B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151B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51B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151BE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uiPriority w:val="1"/>
    <w:qFormat w:val="1"/>
    <w:rsid w:val="000151BE"/>
    <w:pPr>
      <w:spacing w:after="0" w:line="240" w:lineRule="auto"/>
    </w:pPr>
  </w:style>
  <w:style w:type="table" w:styleId="TableGrid">
    <w:name w:val="Table Grid"/>
    <w:basedOn w:val="TableNormal"/>
    <w:uiPriority w:val="39"/>
    <w:rsid w:val="000151B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+QLwZXbabAYfNetRVuxjCSVp8A==">CgMxLjA4AHIhMWVEODcxWXVJZW9ycERuSlcxNzJmdzZCWkhSbDRpbWpu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2025-08-13T13:50:00Z</dcterms:created>
  <dc:creator>John Woods</dc:creator>
</cp:coreProperties>
</file>