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清竞数智 · 高质量数据集建设平台</w:t>
      </w:r>
    </w:p>
    <w:p>
      <w:pPr>
        <w:jc w:val="center"/>
      </w:pPr>
      <w:r>
        <w:rPr>
          <w:rFonts w:ascii="宋体" w:hAnsi="宋体" w:eastAsia="宋体"/>
          <w:sz w:val="24"/>
        </w:rPr>
        <w:t>功能介绍（自主研发）</w:t>
      </w:r>
    </w:p>
    <w:p/>
    <w:p>
      <w:r>
        <w:rPr>
          <w:rFonts w:ascii="宋体" w:hAnsi="宋体" w:eastAsia="宋体"/>
          <w:b/>
          <w:sz w:val="24"/>
        </w:rPr>
        <w:t>一、平台概述</w:t>
      </w:r>
    </w:p>
    <w:p>
      <w:r>
        <w:rPr>
          <w:rFonts w:ascii="宋体" w:hAnsi="宋体" w:eastAsia="宋体"/>
          <w:sz w:val="24"/>
        </w:rPr>
        <w:t>清竞数智高质量数据集建设平台由我司自主研发，面向大语言模型全生命周期，提供从原始资料到可用模型的一体化数据建设与训练编排能力。平台产品形态、工作流编排、权限与审计、对外接口及交付运维体系均为清竞数智自主设计与研发；在统一工作台内完成数据治理、多阶段训练任务配置与执行、以及模型与数据效果的闭环评测，支撑企业级高质量数据集资产沉淀与模型能力持续迭代。</w:t>
        <w:br/>
        <w:br/>
        <w:t>在工程实现上，平台深度融合业界成熟的开源技术栈：在数据侧集成 Easy Dataset 的文档解析、智能分块、问答与对话合成、人机协同质检等能力；在训练侧对接 LLaMA-Factory 的统一训练框架，覆盖预训练、监督微调及强化学习与偏好对齐等阶段。上述开源能力经自主研发的中台层进行统一封装、编排与增强，形成可交付、可运营的企业级产品。</w:t>
      </w:r>
    </w:p>
    <w:p/>
    <w:p>
      <w:r>
        <w:rPr>
          <w:rFonts w:ascii="宋体" w:hAnsi="宋体" w:eastAsia="宋体"/>
          <w:b/>
          <w:sz w:val="24"/>
        </w:rPr>
        <w:t>二、核心功能模块</w:t>
      </w:r>
    </w:p>
    <w:p>
      <w:r>
        <w:rPr>
          <w:rFonts w:ascii="宋体" w:hAnsi="宋体" w:eastAsia="宋体"/>
          <w:b/>
          <w:sz w:val="24"/>
        </w:rPr>
        <w:t>1. 数据建设与治理（自主研发的数据工作台）</w:t>
      </w:r>
    </w:p>
    <w:p>
      <w:pPr>
        <w:pStyle w:val="ListBullet"/>
      </w:pPr>
      <w:r>
        <w:rPr>
          <w:rFonts w:ascii="宋体" w:hAnsi="宋体" w:eastAsia="宋体"/>
          <w:sz w:val="24"/>
        </w:rPr>
        <w:t>支持多格式文档（如 PDF、Markdown、DOCX、TXT 等）接入与版本管理；</w:t>
      </w:r>
    </w:p>
    <w:p>
      <w:pPr>
        <w:pStyle w:val="ListBullet"/>
      </w:pPr>
      <w:r>
        <w:rPr>
          <w:rFonts w:ascii="宋体" w:hAnsi="宋体" w:eastAsia="宋体"/>
          <w:sz w:val="24"/>
        </w:rPr>
        <w:t>提供多种文本分块策略（结构感知、递归分隔、定长与代码感知等），保障下游训练语料粒度可控；</w:t>
      </w:r>
    </w:p>
    <w:p>
      <w:pPr>
        <w:pStyle w:val="ListBullet"/>
      </w:pPr>
      <w:r>
        <w:rPr>
          <w:rFonts w:ascii="宋体" w:hAnsi="宋体" w:eastAsia="宋体"/>
          <w:sz w:val="24"/>
        </w:rPr>
        <w:t>面向领域构建标签体系与合成指令数据，支持单轮/多轮对话数据生产；</w:t>
      </w:r>
    </w:p>
    <w:p>
      <w:pPr>
        <w:pStyle w:val="ListBullet"/>
      </w:pPr>
      <w:r>
        <w:rPr>
          <w:rFonts w:ascii="宋体" w:hAnsi="宋体" w:eastAsia="宋体"/>
          <w:sz w:val="24"/>
        </w:rPr>
        <w:t>内置人机协同审核与修订流程，保证数据集可追溯、可质检、可复现。</w:t>
      </w:r>
    </w:p>
    <w:p>
      <w:r>
        <w:rPr>
          <w:rFonts w:ascii="宋体" w:hAnsi="宋体" w:eastAsia="宋体"/>
          <w:b/>
          <w:sz w:val="24"/>
        </w:rPr>
        <w:t>2. 预训练与继续预训练（CPT）</w:t>
      </w:r>
    </w:p>
    <w:p>
      <w:pPr>
        <w:pStyle w:val="ListBullet"/>
      </w:pPr>
      <w:r>
        <w:rPr>
          <w:rFonts w:ascii="宋体" w:hAnsi="宋体" w:eastAsia="宋体"/>
          <w:sz w:val="24"/>
        </w:rPr>
        <w:t>基于平台治理后的大规模语料，配置继续预训练或领域预训练任务；</w:t>
      </w:r>
    </w:p>
    <w:p>
      <w:pPr>
        <w:pStyle w:val="ListBullet"/>
      </w:pPr>
      <w:r>
        <w:rPr>
          <w:rFonts w:ascii="宋体" w:hAnsi="宋体" w:eastAsia="宋体"/>
          <w:sz w:val="24"/>
        </w:rPr>
        <w:t>与训练引擎对接，支持从通用基座向行业分布迁移，提升领域语言建模能力；</w:t>
      </w:r>
    </w:p>
    <w:p>
      <w:pPr>
        <w:pStyle w:val="ListBullet"/>
      </w:pPr>
      <w:r>
        <w:rPr>
          <w:rFonts w:ascii="宋体" w:hAnsi="宋体" w:eastAsia="宋体"/>
          <w:sz w:val="24"/>
        </w:rPr>
        <w:t>支持任务队列、资源与实验记录，便于多项目并行与结果对比。</w:t>
      </w:r>
    </w:p>
    <w:p>
      <w:r>
        <w:rPr>
          <w:rFonts w:ascii="宋体" w:hAnsi="宋体" w:eastAsia="宋体"/>
          <w:b/>
          <w:sz w:val="24"/>
        </w:rPr>
        <w:t>3. 监督微调（SFT）</w:t>
      </w:r>
    </w:p>
    <w:p>
      <w:pPr>
        <w:pStyle w:val="ListBullet"/>
      </w:pPr>
      <w:r>
        <w:rPr>
          <w:rFonts w:ascii="宋体" w:hAnsi="宋体" w:eastAsia="宋体"/>
          <w:sz w:val="24"/>
        </w:rPr>
        <w:t>将平台产出的高质量指令数据与对话数据，一键对接微调流水线；</w:t>
      </w:r>
    </w:p>
    <w:p>
      <w:pPr>
        <w:pStyle w:val="ListBullet"/>
      </w:pPr>
      <w:r>
        <w:rPr>
          <w:rFonts w:ascii="宋体" w:hAnsi="宋体" w:eastAsia="宋体"/>
          <w:sz w:val="24"/>
        </w:rPr>
        <w:t>支持全参数微调与高效参数微调等常见策略（以实际部署的训练框架能力为准）；</w:t>
      </w:r>
    </w:p>
    <w:p>
      <w:pPr>
        <w:pStyle w:val="ListBullet"/>
      </w:pPr>
      <w:r>
        <w:rPr>
          <w:rFonts w:ascii="宋体" w:hAnsi="宋体" w:eastAsia="宋体"/>
          <w:sz w:val="24"/>
        </w:rPr>
        <w:t>形成「数据版本—训练配置—模型 Checkpoint」的清晰对应关系，支撑迭代发布。</w:t>
      </w:r>
    </w:p>
    <w:p>
      <w:r>
        <w:rPr>
          <w:rFonts w:ascii="宋体" w:hAnsi="宋体" w:eastAsia="宋体"/>
          <w:b/>
          <w:sz w:val="24"/>
        </w:rPr>
        <w:t>4. 强化学习与偏好对齐</w:t>
      </w:r>
    </w:p>
    <w:p>
      <w:pPr>
        <w:pStyle w:val="ListBullet"/>
      </w:pPr>
      <w:r>
        <w:rPr>
          <w:rFonts w:ascii="宋体" w:hAnsi="宋体" w:eastAsia="宋体"/>
          <w:sz w:val="24"/>
        </w:rPr>
        <w:t>基于平台构造的偏好对、排序数据或评测反馈，开展 DPO、RLHF/PPO 等对齐训练（以所选算法与引擎为准）；</w:t>
      </w:r>
    </w:p>
    <w:p>
      <w:pPr>
        <w:pStyle w:val="ListBullet"/>
      </w:pPr>
      <w:r>
        <w:rPr>
          <w:rFonts w:ascii="宋体" w:hAnsi="宋体" w:eastAsia="宋体"/>
          <w:sz w:val="24"/>
        </w:rPr>
        <w:t>在监督微调模型之上进一步优化安全性、风格与业务规则符合度；</w:t>
      </w:r>
    </w:p>
    <w:p>
      <w:pPr>
        <w:pStyle w:val="ListBullet"/>
      </w:pPr>
      <w:r>
        <w:rPr>
          <w:rFonts w:ascii="宋体" w:hAnsi="宋体" w:eastAsia="宋体"/>
          <w:sz w:val="24"/>
        </w:rPr>
        <w:t>与评测模块联动，支持对齐前后效果对比与回归测试。</w:t>
      </w:r>
    </w:p>
    <w:p>
      <w:r>
        <w:rPr>
          <w:rFonts w:ascii="宋体" w:hAnsi="宋体" w:eastAsia="宋体"/>
          <w:b/>
          <w:sz w:val="24"/>
        </w:rPr>
        <w:t>5. 评测与闭环运营</w:t>
      </w:r>
    </w:p>
    <w:p>
      <w:pPr>
        <w:pStyle w:val="ListBullet"/>
      </w:pPr>
      <w:r>
        <w:rPr>
          <w:rFonts w:ascii="宋体" w:hAnsi="宋体" w:eastAsia="宋体"/>
          <w:sz w:val="24"/>
        </w:rPr>
        <w:t>支持构建客观题、主观题与开放域问答等评测集，并可组织人机盲测对比；</w:t>
      </w:r>
    </w:p>
    <w:p>
      <w:pPr>
        <w:pStyle w:val="ListBullet"/>
      </w:pPr>
      <w:r>
        <w:rPr>
          <w:rFonts w:ascii="宋体" w:hAnsi="宋体" w:eastAsia="宋体"/>
          <w:sz w:val="24"/>
        </w:rPr>
        <w:t>可对接 Judge 模型或规则打分，实现自动化批量评测；</w:t>
      </w:r>
    </w:p>
    <w:p>
      <w:pPr>
        <w:pStyle w:val="ListBullet"/>
      </w:pPr>
      <w:r>
        <w:rPr>
          <w:rFonts w:ascii="宋体" w:hAnsi="宋体" w:eastAsia="宋体"/>
          <w:sz w:val="24"/>
        </w:rPr>
        <w:t>贯穿预训练数据质量、各阶段模型效果，支撑「评测—发现问题—回流标注/再训练」的持续改进闭环。</w:t>
      </w:r>
    </w:p>
    <w:p/>
    <w:p>
      <w:r>
        <w:rPr>
          <w:rFonts w:ascii="宋体" w:hAnsi="宋体" w:eastAsia="宋体"/>
          <w:b/>
          <w:sz w:val="24"/>
        </w:rPr>
        <w:t>三、平台价值</w:t>
      </w:r>
    </w:p>
    <w:p>
      <w:pPr>
        <w:pStyle w:val="ListBullet"/>
      </w:pPr>
      <w:r>
        <w:rPr>
          <w:rFonts w:ascii="宋体" w:hAnsi="宋体" w:eastAsia="宋体"/>
          <w:sz w:val="24"/>
        </w:rPr>
        <w:t>自主研发的一体化工作台，降低多工具拼接成本与数据泄露风险；</w:t>
      </w:r>
    </w:p>
    <w:p>
      <w:pPr>
        <w:pStyle w:val="ListBullet"/>
      </w:pPr>
      <w:r>
        <w:rPr>
          <w:rFonts w:ascii="宋体" w:hAnsi="宋体" w:eastAsia="宋体"/>
          <w:sz w:val="24"/>
        </w:rPr>
        <w:t>数据资产与训练实验可追溯、可审计，满足企业内控与合规要求；</w:t>
      </w:r>
    </w:p>
    <w:p>
      <w:pPr>
        <w:pStyle w:val="ListBullet"/>
      </w:pPr>
      <w:r>
        <w:rPr>
          <w:rFonts w:ascii="宋体" w:hAnsi="宋体" w:eastAsia="宋体"/>
          <w:sz w:val="24"/>
        </w:rPr>
        <w:t>四阶段能力（预训练、微调、强化学习、评测）贯通，缩短从业务资料到可用模型的周期。</w:t>
      </w:r>
    </w:p>
    <w:p/>
    <w:p>
      <w:pPr>
        <w:spacing w:before="240"/>
      </w:pPr>
      <w:r>
        <w:rPr>
          <w:rFonts w:ascii="宋体" w:hAnsi="宋体" w:eastAsia="宋体"/>
          <w:sz w:val="18"/>
        </w:rPr>
        <w:t>说明：本文档所述功能以实际部署版本与合同范围为准；涉及开源组件的部分以相应开源协议及版本说明为准。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