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Date, P., Arthur, D. &amp; Pusey-Nazzaro, L. QUBO</w:t>
      </w:r>
      <w:r>
        <w:rPr>
          <w:rFonts w:hint="eastAsia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formulations for t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 xml:space="preserve">raining machine learning models. Sci Rep 11, 10029 (2021). 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"https://doi.org/10.1038/s41598-021-89461-4" </w:instrTex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https://doi.org/10.1038/s41598-021-89461-4</w:t>
      </w: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Rizvee, R.A., Hassan, R., &amp; Khan, M.M. (2023). A Graph Neural Network-Based QUBO-Formulated Hamiltonian-Inspired Loss Function for Combinatorial Optimization using Reinforcement Learning. ArXiv, abs/2311.16277.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Date, P., Arthur, D., &amp; Pusey-Nazzaro, L. (2021). QUBO formulations for training machine learning models. Scientific Reports, 11(1). doi:10.1038/s41598-021-89461-4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eastAsia="Helvetica Neue" w:cs="Times New Roman Regular"/>
          <w:b w:val="0"/>
          <w:i w:val="0"/>
          <w:iCs w:val="0"/>
          <w:caps w:val="0"/>
          <w:color w:val="22222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A7A6F"/>
    <w:multiLevelType w:val="singleLevel"/>
    <w:tmpl w:val="BD7A7A6F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0ACB"/>
    <w:rsid w:val="FD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2024-11-24T16:58:00Z</dcterms:created>
  <dc:creator>“#£*%!!!”</dc:creator>
  <cp:lastModifiedBy>“#£*%!!!”</cp:lastModifiedBy>
  <dcterms:modified xsi:type="dcterms:W3CDTF">2024-11-24T17:26:34Z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1033-6.5.0.8619</vt:lpwstr>
  </property>
  <property fmtid="{D5CDD505-2E9C-101B-9397-08002B2CF9AE}" pid="3" name="ICV">
    <vt:lpwstr>6BF7C8A8BA1B97AF98A14367994B2921_41</vt:lpwstr>
  </property>
</Properties>
</file>