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2213A"/>
          <w:sz w:val="56"/>
          <w:szCs w:val="56"/>
        </w:rPr>
        <w:t xml:space="preserve">S O C C E R N I T Y</w:t>
      </w:r>
    </w:p>
    <w:p>
      <w:pPr>
        <w:spacing w:after="80"/>
        <w:jc w:val="center"/>
      </w:pPr>
      <w:r>
        <w:rPr>
          <w:b/>
          <w:bCs/>
          <w:color w:val="1E7F4C"/>
          <w:spacing w:val="20"/>
          <w:sz w:val="22"/>
          <w:szCs w:val="22"/>
        </w:rPr>
        <w:t xml:space="preserve">MVP BUILD PLAN</w:t>
      </w:r>
    </w:p>
    <w:p>
      <w:pPr>
        <w:spacing w:after="40" w:before="400"/>
        <w:jc w:val="center"/>
      </w:pPr>
      <w:r>
        <w:rPr>
          <w:b/>
          <w:bCs/>
          <w:color w:val="1A1A1A"/>
          <w:sz w:val="36"/>
          <w:szCs w:val="36"/>
        </w:rPr>
        <w:t xml:space="preserve">Engineer &amp; Claude-Agent Execution Guide</w:t>
      </w:r>
    </w:p>
    <w:p>
      <w:pPr>
        <w:spacing w:after="600"/>
        <w:jc w:val="center"/>
      </w:pPr>
      <w:r>
        <w:rPr>
          <w:i/>
          <w:iCs/>
          <w:color w:val="5B6570"/>
          <w:sz w:val="22"/>
          <w:szCs w:val="22"/>
        </w:rPr>
        <w:t xml:space="preserve">Version 1.1 — Companion to the Inventor's Log Book v2.7</w:t>
      </w:r>
    </w:p>
    <w:p>
      <w:pPr>
        <w:spacing w:after="60"/>
        <w:jc w:val="center"/>
      </w:pPr>
      <w:r>
        <w:rPr>
          <w:sz w:val="22"/>
          <w:szCs w:val="22"/>
        </w:rPr>
        <w:t xml:space="preserve">Founder: Temiloluwa Titiloye</w:t>
      </w:r>
    </w:p>
    <w:p>
      <w:pPr>
        <w:spacing w:after="60"/>
        <w:jc w:val="center"/>
      </w:pPr>
      <w:r>
        <w:rPr>
          <w:color w:val="5B6570"/>
          <w:sz w:val="20"/>
          <w:szCs w:val="20"/>
        </w:rPr>
        <w:t xml:space="preserve">Soccernity Ltd  •  soccernity.com</w:t>
      </w:r>
    </w:p>
    <w:p>
      <w:pPr>
        <w:spacing w:before="900"/>
        <w:jc w:val="center"/>
      </w:pPr>
      <w:r>
        <w:rPr>
          <w:i/>
          <w:iCs/>
          <w:color w:val="5B6570"/>
          <w:sz w:val="20"/>
          <w:szCs w:val="20"/>
        </w:rPr>
        <w:t xml:space="preserve">This document is the tactical companion to the Inventor's Log Book. It is written to be handed directly to an engineer, or to a Claude Code session, with the instruction: start building.</w:t>
      </w:r>
    </w:p>
    <w:p>
      <w:r>
        <w:br w:type="page"/>
      </w:r>
    </w:p>
    <w:p>
      <w:pPr>
        <w:pStyle w:val="Heading1"/>
        <w:spacing w:after="240" w:before="480"/>
      </w:pPr>
      <w:r>
        <w:t xml:space="preserve">Table of Contents</w:t>
      </w:r>
    </w:p>
    <w:tbl>
      <w:tblPr>
        <w:tblW w:type="dxa" w:w="10050"/>
        <w:tblBorders>
          <w:top w:val="none"/>
          <w:left w:val="none"/>
          <w:bottom w:val="none"/>
          <w:right w:val="none"/>
          <w:insideH w:val="none"/>
          <w:insideV w:val="none"/>
        </w:tblBorders>
      </w:tblPr>
      <w:tblGrid>
        <w:gridCol w:w="560"/>
        <w:gridCol w:w="8790"/>
        <w:gridCol w:w="700"/>
      </w:tblGrid>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w:t>
            </w:r>
          </w:p>
        </w:tc>
        <w:tc>
          <w:tcPr>
            <w:tcW w:type="dxa" w:w="8790"/>
            <w:tcBorders>
              <w:top w:val="none"/>
              <w:left w:val="none"/>
              <w:bottom w:val="none"/>
              <w:right w:val="none"/>
            </w:tcBorders>
            <w:tcMar>
              <w:top w:type="dxa" w:w="60"/>
              <w:left w:type="dxa" w:w="0"/>
              <w:bottom w:type="dxa" w:w="60"/>
              <w:right w:type="dxa" w:w="0"/>
            </w:tcMar>
          </w:tcPr>
          <w:p>
            <w:r>
              <w:t xml:space="preserve">How to Use This Document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w:t>
            </w:r>
          </w:p>
        </w:tc>
        <w:tc>
          <w:tcPr>
            <w:tcW w:type="dxa" w:w="8790"/>
            <w:tcBorders>
              <w:top w:val="none"/>
              <w:left w:val="none"/>
              <w:bottom w:val="none"/>
              <w:right w:val="none"/>
            </w:tcBorders>
            <w:tcMar>
              <w:top w:type="dxa" w:w="60"/>
              <w:left w:type="dxa" w:w="0"/>
              <w:bottom w:type="dxa" w:w="60"/>
              <w:right w:type="dxa" w:w="0"/>
            </w:tcMar>
          </w:tcPr>
          <w:p>
            <w:r>
              <w:t xml:space="preserve">MVP Scope — In and Out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3</w:t>
            </w:r>
          </w:p>
        </w:tc>
        <w:tc>
          <w:tcPr>
            <w:tcW w:type="dxa" w:w="8790"/>
            <w:tcBorders>
              <w:top w:val="none"/>
              <w:left w:val="none"/>
              <w:bottom w:val="none"/>
              <w:right w:val="none"/>
            </w:tcBorders>
            <w:tcMar>
              <w:top w:type="dxa" w:w="60"/>
              <w:left w:type="dxa" w:w="0"/>
              <w:bottom w:type="dxa" w:w="60"/>
              <w:right w:type="dxa" w:w="0"/>
            </w:tcMar>
          </w:tcPr>
          <w:p>
            <w:r>
              <w:t xml:space="preserve">Data Model</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4</w:t>
            </w:r>
          </w:p>
        </w:tc>
        <w:tc>
          <w:tcPr>
            <w:tcW w:type="dxa" w:w="8790"/>
            <w:tcBorders>
              <w:top w:val="none"/>
              <w:left w:val="none"/>
              <w:bottom w:val="none"/>
              <w:right w:val="none"/>
            </w:tcBorders>
            <w:tcMar>
              <w:top w:type="dxa" w:w="60"/>
              <w:left w:type="dxa" w:w="0"/>
              <w:bottom w:type="dxa" w:w="60"/>
              <w:right w:type="dxa" w:w="0"/>
            </w:tcMar>
          </w:tcPr>
          <w:p>
            <w:r>
              <w:t xml:space="preserve">API Contract Sketch</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5</w:t>
            </w:r>
          </w:p>
        </w:tc>
        <w:tc>
          <w:tcPr>
            <w:tcW w:type="dxa" w:w="8790"/>
            <w:tcBorders>
              <w:top w:val="none"/>
              <w:left w:val="none"/>
              <w:bottom w:val="none"/>
              <w:right w:val="none"/>
            </w:tcBorders>
            <w:tcMar>
              <w:top w:type="dxa" w:w="60"/>
              <w:left w:type="dxa" w:w="0"/>
              <w:bottom w:type="dxa" w:w="60"/>
              <w:right w:type="dxa" w:w="0"/>
            </w:tcMar>
          </w:tcPr>
          <w:p>
            <w:r>
              <w:t xml:space="preserve">System &amp; Infrastructure Decisions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10</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6</w:t>
            </w:r>
          </w:p>
        </w:tc>
        <w:tc>
          <w:tcPr>
            <w:tcW w:type="dxa" w:w="8790"/>
            <w:tcBorders>
              <w:top w:val="none"/>
              <w:left w:val="none"/>
              <w:bottom w:val="none"/>
              <w:right w:val="none"/>
            </w:tcBorders>
            <w:tcMar>
              <w:top w:type="dxa" w:w="60"/>
              <w:left w:type="dxa" w:w="0"/>
              <w:bottom w:type="dxa" w:w="60"/>
              <w:right w:type="dxa" w:w="0"/>
            </w:tcMar>
          </w:tcPr>
          <w:p>
            <w:r>
              <w:t xml:space="preserve">Sprint-by-Sprint Backlog</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12</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7</w:t>
            </w:r>
          </w:p>
        </w:tc>
        <w:tc>
          <w:tcPr>
            <w:tcW w:type="dxa" w:w="8790"/>
            <w:tcBorders>
              <w:top w:val="none"/>
              <w:left w:val="none"/>
              <w:bottom w:val="none"/>
              <w:right w:val="none"/>
            </w:tcBorders>
            <w:tcMar>
              <w:top w:type="dxa" w:w="60"/>
              <w:left w:type="dxa" w:w="0"/>
              <w:bottom w:type="dxa" w:w="60"/>
              <w:right w:type="dxa" w:w="0"/>
            </w:tcMar>
          </w:tcPr>
          <w:p>
            <w:r>
              <w:t xml:space="preserve">Definition of Done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8</w:t>
            </w:r>
          </w:p>
        </w:tc>
        <w:tc>
          <w:tcPr>
            <w:tcW w:type="dxa" w:w="8790"/>
            <w:tcBorders>
              <w:top w:val="none"/>
              <w:left w:val="none"/>
              <w:bottom w:val="none"/>
              <w:right w:val="none"/>
            </w:tcBorders>
            <w:tcMar>
              <w:top w:type="dxa" w:w="60"/>
              <w:left w:type="dxa" w:w="0"/>
              <w:bottom w:type="dxa" w:w="60"/>
              <w:right w:type="dxa" w:w="0"/>
            </w:tcMar>
          </w:tcPr>
          <w:p>
            <w:r>
              <w:t xml:space="preserve">Safeguarding Deliverables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9</w:t>
            </w:r>
          </w:p>
        </w:tc>
        <w:tc>
          <w:tcPr>
            <w:tcW w:type="dxa" w:w="8790"/>
            <w:tcBorders>
              <w:top w:val="none"/>
              <w:left w:val="none"/>
              <w:bottom w:val="none"/>
              <w:right w:val="none"/>
            </w:tcBorders>
            <w:tcMar>
              <w:top w:type="dxa" w:w="60"/>
              <w:left w:type="dxa" w:w="0"/>
              <w:bottom w:type="dxa" w:w="60"/>
              <w:right w:type="dxa" w:w="0"/>
            </w:tcMar>
          </w:tcPr>
          <w:p>
            <w:r>
              <w:t xml:space="preserve">Consolidated Decision Log</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10</w:t>
            </w:r>
          </w:p>
        </w:tc>
        <w:tc>
          <w:tcPr>
            <w:tcW w:type="dxa" w:w="8790"/>
            <w:tcBorders>
              <w:top w:val="none"/>
              <w:left w:val="none"/>
              <w:bottom w:val="none"/>
              <w:right w:val="none"/>
            </w:tcBorders>
            <w:tcMar>
              <w:top w:type="dxa" w:w="60"/>
              <w:left w:type="dxa" w:w="0"/>
              <w:bottom w:type="dxa" w:w="60"/>
              <w:right w:type="dxa" w:w="0"/>
            </w:tcMar>
          </w:tcPr>
          <w:p>
            <w:r>
              <w:t xml:space="preserve">Design System Cleanup Tickets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11</w:t>
            </w:r>
          </w:p>
        </w:tc>
        <w:tc>
          <w:tcPr>
            <w:tcW w:type="dxa" w:w="8790"/>
            <w:tcBorders>
              <w:top w:val="none"/>
              <w:left w:val="none"/>
              <w:bottom w:val="none"/>
              <w:right w:val="none"/>
            </w:tcBorders>
            <w:tcMar>
              <w:top w:type="dxa" w:w="60"/>
              <w:left w:type="dxa" w:w="0"/>
              <w:bottom w:type="dxa" w:w="60"/>
              <w:right w:type="dxa" w:w="0"/>
            </w:tcMar>
          </w:tcPr>
          <w:p>
            <w:r>
              <w:t xml:space="preserve">Claude Agent Assignment Map</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20</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12</w:t>
            </w:r>
          </w:p>
        </w:tc>
        <w:tc>
          <w:tcPr>
            <w:tcW w:type="dxa" w:w="8790"/>
            <w:tcBorders>
              <w:top w:val="none"/>
              <w:left w:val="none"/>
              <w:bottom w:val="none"/>
              <w:right w:val="none"/>
            </w:tcBorders>
            <w:tcMar>
              <w:top w:type="dxa" w:w="60"/>
              <w:left w:type="dxa" w:w="0"/>
              <w:bottom w:type="dxa" w:w="60"/>
              <w:right w:type="dxa" w:w="0"/>
            </w:tcMar>
          </w:tcPr>
          <w:p>
            <w:r>
              <w:t xml:space="preserve">Appendix — Cross-Reference &amp; Glossary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21</w:t>
            </w:r>
          </w:p>
        </w:tc>
      </w:tr>
    </w:tbl>
    <w:p>
      <w:r>
        <w:br w:type="page"/>
      </w:r>
    </w:p>
    <w:p>
      <w:pPr>
        <w:pStyle w:val="Heading1"/>
        <w:spacing w:after="240" w:before="480"/>
      </w:pPr>
      <w:r>
        <w:rPr>
          <w:color w:val="C99A2E"/>
        </w:rPr>
        <w:t xml:space="preserve">1  </w:t>
      </w:r>
      <w:r>
        <w:t xml:space="preserve">How to Use This Document</w:t>
      </w:r>
    </w:p>
    <w:p>
      <w:pPr>
        <w:spacing w:after="160" w:line="276"/>
      </w:pPr>
      <w:r>
        <w:t xml:space="preserve">This is a tactical execution document, not a strategy document — the strategic and inventive record lives in the Inventor's Log Book v2.6 (referenced throughout as “the Log Book”), and this plan does not repeat that reasoning. Every section here is written to be actioned directly: an engineer should be able to open Section 3 and start a database schema, or open Section 6 and start Sprint 1, without reading anything else first.</w:t>
      </w:r>
    </w:p>
    <w:p>
      <w:pPr>
        <w:pStyle w:val="Heading2"/>
        <w:spacing w:after="160" w:before="320"/>
      </w:pPr>
      <w:r>
        <w:t xml:space="preserve">1.1 Structure</w:t>
      </w:r>
    </w:p>
    <w:p>
      <w:pPr>
        <w:pStyle w:val="ListParagraph"/>
        <w:numPr>
          <w:ilvl w:val="0"/>
          <w:numId w:val="2"/>
        </w:numPr>
        <w:spacing w:after="90"/>
      </w:pPr>
      <w:r>
        <w:t xml:space="preserve">Section 2 states exactly what ships in MVP v1 and what is deliberately deferred, with the reasoning tied back to the Log Book's own blue-ocean strategy (Log Book Section 20).</w:t>
      </w:r>
    </w:p>
    <w:p>
      <w:pPr>
        <w:pStyle w:val="ListParagraph"/>
        <w:numPr>
          <w:ilvl w:val="0"/>
          <w:numId w:val="2"/>
        </w:numPr>
        <w:spacing w:after="90"/>
      </w:pPr>
      <w:r>
        <w:t xml:space="preserve">Sections 3–5 are the technical specification: data model, API contract, infrastructure choices.</w:t>
      </w:r>
    </w:p>
    <w:p>
      <w:pPr>
        <w:pStyle w:val="ListParagraph"/>
        <w:numPr>
          <w:ilvl w:val="0"/>
          <w:numId w:val="2"/>
        </w:numPr>
        <w:spacing w:after="90"/>
      </w:pPr>
      <w:r>
        <w:t xml:space="preserve">Section 6 is the week-by-week backlog.</w:t>
      </w:r>
    </w:p>
    <w:p>
      <w:pPr>
        <w:pStyle w:val="ListParagraph"/>
        <w:numPr>
          <w:ilvl w:val="0"/>
          <w:numId w:val="2"/>
        </w:numPr>
        <w:spacing w:after="90"/>
      </w:pPr>
      <w:r>
        <w:t xml:space="preserve">Section 7 is the acceptance checklist — how you know MVP v1 is actually done.</w:t>
      </w:r>
    </w:p>
    <w:p>
      <w:pPr>
        <w:pStyle w:val="ListParagraph"/>
        <w:numPr>
          <w:ilvl w:val="0"/>
          <w:numId w:val="2"/>
        </w:numPr>
        <w:spacing w:after="90"/>
      </w:pPr>
      <w:r>
        <w:t xml:space="preserve">Section 8 closes the single most important gap flagged in Log Book Section 24.5: the age-verification / guardian-consent workflow.</w:t>
      </w:r>
    </w:p>
    <w:p>
      <w:pPr>
        <w:pStyle w:val="ListParagraph"/>
        <w:numPr>
          <w:ilvl w:val="0"/>
          <w:numId w:val="2"/>
        </w:numPr>
        <w:spacing w:after="90"/>
      </w:pPr>
      <w:r>
        <w:t xml:space="preserve">Section 9 consolidates every open founder decision that was previously scattered across three different Log Book sections into one list.</w:t>
      </w:r>
    </w:p>
    <w:p>
      <w:pPr>
        <w:pStyle w:val="ListParagraph"/>
        <w:numPr>
          <w:ilvl w:val="0"/>
          <w:numId w:val="2"/>
        </w:numPr>
        <w:spacing w:after="90"/>
      </w:pPr>
      <w:r>
        <w:t xml:space="preserve">Sections 10–11 are handoff logistics — design cleanup and who (human or Claude agent) does each piece of work.</w:t>
      </w:r>
    </w:p>
    <w:p>
      <w:pPr>
        <w:pStyle w:val="Heading2"/>
        <w:spacing w:after="160" w:before="320"/>
      </w:pPr>
      <w:r>
        <w:t xml:space="preserve">1.2 How to use this with Claude agents</w:t>
      </w:r>
    </w:p>
    <w:p>
      <w:pPr>
        <w:spacing w:after="160" w:line="276"/>
      </w:pPr>
      <w:r>
        <w:t xml:space="preserve">Log Book Section 15.2 now specifies eight Claude Code subagents — figma-design-system, figma-screen-builder, figma-to-code, backend-api, qa-reviewer, competitive-scanner, content-ops, safeguarding-drafter — all installed as working `.claude/agents/` files in the project repository. Section 11 of this document assigns each sprint in Section 6 to the agent best suited to it, including the sequencing dependency for the three Figma-facing agents (figma-design-system before figma-screen-builder before figma-to-code). The recommended workflow: open a Claude Code session in the project repository, point the relevant agent at the specific Section 6 sprint tasks and the Section 4 API contract or Section 3 data model as applicable, and let it work inside its scoped tool access. A human still reviews every pull request — none of these agents are configured for unsupervised merges.</w:t>
      </w:r>
    </w:p>
    <w:p>
      <w:pPr>
        <w:pStyle w:val="Heading2"/>
        <w:spacing w:after="160" w:before="320"/>
      </w:pPr>
      <w:r>
        <w:t xml:space="preserve">1.3 A note on iteration</w:t>
      </w:r>
    </w:p>
    <w:p>
      <w:pPr>
        <w:spacing w:after="160" w:line="276"/>
      </w:pPr>
      <w:r>
        <w:t xml:space="preserve">This is version 1.0. Sprint estimates, the data model and the API contract are all working hypotheses meant to get a small team moving quickly, not a frozen specification. Treat Section 9 (Decision Log) as the live document within this plan — update it as decisions are made, and revise sprint scope honestly if a sprint runs long rather than silently carrying debt forward.</w:t>
      </w:r>
    </w:p>
    <w:p>
      <w:r>
        <w:br w:type="page"/>
      </w:r>
    </w:p>
    <w:p>
      <w:pPr>
        <w:pStyle w:val="Heading1"/>
        <w:spacing w:after="240" w:before="480"/>
      </w:pPr>
      <w:r>
        <w:rPr>
          <w:color w:val="C99A2E"/>
        </w:rPr>
        <w:t xml:space="preserve">2  </w:t>
      </w:r>
      <w:r>
        <w:t xml:space="preserve">MVP Scope — In and Out</w:t>
      </w:r>
    </w:p>
    <w:p>
      <w:pPr>
        <w:spacing w:after="160" w:line="276"/>
      </w:pPr>
      <w:r>
        <w:t xml:space="preserve">The Log Book catalogues 36 features across six pillars (Log Book Section 24.1). Building all of them before launch would take too long and would ignore the Log Book's own strategic conclusion (Section 20): enter through the unaffiliated, informal-grassroots community wedge, not through a capital-intensive AI-scouting contest. MVP v1 scope follows that conclusion directly, and leans on what is already designed in Figma (Log Book Section 23) to move fast.</w:t>
      </w:r>
    </w:p>
    <w:p>
      <w:pPr>
        <w:pStyle w:val="Heading2"/>
        <w:spacing w:after="160" w:before="320"/>
      </w:pPr>
      <w:r>
        <w:t xml:space="preserve">2.1 IN — ships in MVP v1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2213A" w:val="clear"/>
            <w:tcMar>
              <w:top w:type="dxa" w:w="90"/>
              <w:left w:type="dxa" w:w="110"/>
              <w:bottom w:type="dxa" w:w="90"/>
              <w:right w:type="dxa" w:w="110"/>
            </w:tcMar>
            <w:vAlign w:val="center"/>
          </w:tcPr>
          <w:p>
            <w:r>
              <w:rPr>
                <w:b/>
                <w:bCs/>
                <w:color w:val="FFFFFF"/>
                <w:sz w:val="19"/>
                <w:szCs w:val="19"/>
              </w:rPr>
              <w:t xml:space="preserve">Area</w:t>
            </w:r>
          </w:p>
        </w:tc>
        <w:tc>
          <w:tcPr>
            <w:tcW w:type="dxa" w:w="6750"/>
            <w:shd w:fill="12213A" w:val="clear"/>
            <w:tcMar>
              <w:top w:type="dxa" w:w="90"/>
              <w:left w:type="dxa" w:w="110"/>
              <w:bottom w:type="dxa" w:w="90"/>
              <w:right w:type="dxa" w:w="110"/>
            </w:tcMar>
            <w:vAlign w:val="center"/>
          </w:tcPr>
          <w:p>
            <w:r>
              <w:rPr>
                <w:b/>
                <w:bCs/>
                <w:color w:val="FFFFFF"/>
                <w:sz w:val="19"/>
                <w:szCs w:val="19"/>
              </w:rPr>
              <w:t xml:space="preserve">Included</w:t>
            </w:r>
          </w:p>
        </w:tc>
      </w:tr>
      <w:tr>
        <w:tc>
          <w:tcPr>
            <w:tcW w:type="dxa" w:w="2600"/>
            <w:shd w:fill="FFFFFF" w:val="clear"/>
            <w:tcMar>
              <w:top w:type="dxa" w:w="90"/>
              <w:left w:type="dxa" w:w="110"/>
              <w:bottom w:type="dxa" w:w="90"/>
              <w:right w:type="dxa" w:w="110"/>
            </w:tcMar>
            <w:vAlign w:val="center"/>
          </w:tcPr>
          <w:p>
            <w:r>
              <w:rPr>
                <w:b w:val="false"/>
                <w:bCs w:val="false"/>
                <w:color w:val="1A1A1A"/>
                <w:sz w:val="19"/>
                <w:szCs w:val="19"/>
              </w:rPr>
              <w:t xml:space="preserve">Community</w:t>
            </w:r>
          </w:p>
        </w:tc>
        <w:tc>
          <w:tcPr>
            <w:tcW w:type="dxa" w:w="6750"/>
            <w:shd w:fill="FFFFFF" w:val="clear"/>
            <w:tcMar>
              <w:top w:type="dxa" w:w="90"/>
              <w:left w:type="dxa" w:w="110"/>
              <w:bottom w:type="dxa" w:w="90"/>
              <w:right w:type="dxa" w:w="110"/>
            </w:tcMar>
            <w:vAlign w:val="center"/>
          </w:tcPr>
          <w:p>
            <w:r>
              <w:rPr>
                <w:b w:val="false"/>
                <w:bCs w:val="false"/>
                <w:color w:val="1A1A1A"/>
                <w:sz w:val="19"/>
                <w:szCs w:val="19"/>
              </w:rPr>
              <w:t xml:space="preserve">Auth (register/login/forgot/reset/email verification); age declaration at signup; profile view/edit; feed (create/view/like/comment); club fan pages (auto-join); Banter Rooms; direct messaging; full-page notification centre (upgraded from the dropdown-only version in Figma); search &amp; trending; saved posts; one consolidated settings screen; report/block</w:t>
            </w:r>
          </w:p>
        </w:tc>
      </w:tr>
      <w:tr>
        <w:tc>
          <w:tcPr>
            <w:tcW w:type="dxa" w:w="2600"/>
            <w:shd w:fill="EFF3EE" w:val="clear"/>
            <w:tcMar>
              <w:top w:type="dxa" w:w="90"/>
              <w:left w:type="dxa" w:w="110"/>
              <w:bottom w:type="dxa" w:w="90"/>
              <w:right w:type="dxa" w:w="110"/>
            </w:tcMar>
            <w:vAlign w:val="center"/>
          </w:tcPr>
          <w:p>
            <w:r>
              <w:rPr>
                <w:b w:val="false"/>
                <w:bCs w:val="false"/>
                <w:color w:val="1A1A1A"/>
                <w:sz w:val="19"/>
                <w:szCs w:val="19"/>
              </w:rPr>
              <w:t xml:space="preserve">Sports Hub</w:t>
            </w:r>
          </w:p>
        </w:tc>
        <w:tc>
          <w:tcPr>
            <w:tcW w:type="dxa" w:w="6750"/>
            <w:shd w:fill="EFF3EE" w:val="clear"/>
            <w:tcMar>
              <w:top w:type="dxa" w:w="90"/>
              <w:left w:type="dxa" w:w="110"/>
              <w:bottom w:type="dxa" w:w="90"/>
              <w:right w:type="dxa" w:w="110"/>
            </w:tcMar>
            <w:vAlign w:val="center"/>
          </w:tcPr>
          <w:p>
            <w:r>
              <w:rPr>
                <w:b w:val="false"/>
                <w:bCs w:val="false"/>
                <w:color w:val="1A1A1A"/>
                <w:sz w:val="19"/>
                <w:szCs w:val="19"/>
              </w:rPr>
              <w:t xml:space="preserve">Live scores &amp; fixtures; match centre (details, stats, lineups, H2H, standings); news/blog feed and article detail; video highlights</w:t>
            </w:r>
          </w:p>
        </w:tc>
      </w:tr>
      <w:tr>
        <w:tc>
          <w:tcPr>
            <w:tcW w:type="dxa" w:w="2600"/>
            <w:shd w:fill="FFFFFF" w:val="clear"/>
            <w:tcMar>
              <w:top w:type="dxa" w:w="90"/>
              <w:left w:type="dxa" w:w="110"/>
              <w:bottom w:type="dxa" w:w="90"/>
              <w:right w:type="dxa" w:w="110"/>
            </w:tcMar>
            <w:vAlign w:val="center"/>
          </w:tcPr>
          <w:p>
            <w:r>
              <w:rPr>
                <w:b w:val="false"/>
                <w:bCs w:val="false"/>
                <w:color w:val="1A1A1A"/>
                <w:sz w:val="19"/>
                <w:szCs w:val="19"/>
              </w:rPr>
              <w:t xml:space="preserve">Play &amp; Compete</w:t>
            </w:r>
          </w:p>
        </w:tc>
        <w:tc>
          <w:tcPr>
            <w:tcW w:type="dxa" w:w="6750"/>
            <w:shd w:fill="FFFFFF" w:val="clear"/>
            <w:tcMar>
              <w:top w:type="dxa" w:w="90"/>
              <w:left w:type="dxa" w:w="110"/>
              <w:bottom w:type="dxa" w:w="90"/>
              <w:right w:type="dxa" w:w="110"/>
            </w:tcMar>
            <w:vAlign w:val="center"/>
          </w:tcPr>
          <w:p>
            <w:r>
              <w:rPr>
                <w:b w:val="false"/>
                <w:bCs w:val="false"/>
                <w:color w:val="1A1A1A"/>
                <w:sz w:val="19"/>
                <w:szCs w:val="19"/>
              </w:rPr>
              <w:t xml:space="preserve">Leaderboard only, as a read-only ranking tied to community engagement — not the full fantasy-manager team-builder</w:t>
            </w:r>
          </w:p>
        </w:tc>
      </w:tr>
      <w:tr>
        <w:tc>
          <w:tcPr>
            <w:tcW w:type="dxa" w:w="2600"/>
            <w:shd w:fill="EFF3EE" w:val="clear"/>
            <w:tcMar>
              <w:top w:type="dxa" w:w="90"/>
              <w:left w:type="dxa" w:w="110"/>
              <w:bottom w:type="dxa" w:w="90"/>
              <w:right w:type="dxa" w:w="110"/>
            </w:tcMar>
            <w:vAlign w:val="center"/>
          </w:tcPr>
          <w:p>
            <w:r>
              <w:rPr>
                <w:b w:val="false"/>
                <w:bCs w:val="false"/>
                <w:color w:val="1A1A1A"/>
                <w:sz w:val="19"/>
                <w:szCs w:val="19"/>
              </w:rPr>
              <w:t xml:space="preserve">Admin &amp; Operations Console</w:t>
            </w:r>
          </w:p>
        </w:tc>
        <w:tc>
          <w:tcPr>
            <w:tcW w:type="dxa" w:w="6750"/>
            <w:shd w:fill="EFF3EE" w:val="clear"/>
            <w:tcMar>
              <w:top w:type="dxa" w:w="90"/>
              <w:left w:type="dxa" w:w="110"/>
              <w:bottom w:type="dxa" w:w="90"/>
              <w:right w:type="dxa" w:w="110"/>
            </w:tcMar>
            <w:vAlign w:val="center"/>
          </w:tcPr>
          <w:p>
            <w:r>
              <w:rPr>
                <w:b w:val="false"/>
                <w:bCs w:val="false"/>
                <w:color w:val="1A1A1A"/>
                <w:sz w:val="19"/>
                <w:szCs w:val="19"/>
              </w:rPr>
              <w:t xml:space="preserve">Dashboard; article &amp; category management; media library; user management; a moderation queue (new — see Section 8.4)</w:t>
            </w:r>
          </w:p>
        </w:tc>
      </w:tr>
      <w:tr>
        <w:tc>
          <w:tcPr>
            <w:tcW w:type="dxa" w:w="2600"/>
            <w:shd w:fill="FFFFFF" w:val="clear"/>
            <w:tcMar>
              <w:top w:type="dxa" w:w="90"/>
              <w:left w:type="dxa" w:w="110"/>
              <w:bottom w:type="dxa" w:w="90"/>
              <w:right w:type="dxa" w:w="110"/>
            </w:tcMar>
            <w:vAlign w:val="center"/>
          </w:tcPr>
          <w:p>
            <w:r>
              <w:rPr>
                <w:b w:val="false"/>
                <w:bCs w:val="false"/>
                <w:color w:val="1A1A1A"/>
                <w:sz w:val="19"/>
                <w:szCs w:val="19"/>
              </w:rPr>
              <w:t xml:space="preserve">Grassroots record-keeping (NEW)</w:t>
            </w:r>
          </w:p>
        </w:tc>
        <w:tc>
          <w:tcPr>
            <w:tcW w:type="dxa" w:w="6750"/>
            <w:shd w:fill="FFFFFF" w:val="clear"/>
            <w:tcMar>
              <w:top w:type="dxa" w:w="90"/>
              <w:left w:type="dxa" w:w="110"/>
              <w:bottom w:type="dxa" w:w="90"/>
              <w:right w:type="dxa" w:w="110"/>
            </w:tcMar>
            <w:vAlign w:val="center"/>
          </w:tcPr>
          <w:p>
            <w:r>
              <w:rPr>
                <w:b w:val="false"/>
                <w:bCs w:val="false"/>
                <w:color w:val="1A1A1A"/>
                <w:sz w:val="19"/>
                <w:szCs w:val="19"/>
              </w:rPr>
              <w:t xml:space="preserve">Informal team/league profile creation; manual fixture and result logging; a public team/league page — this is the concrete, buildable form of the Log Book Section 20 blue-ocean wedge and has no prior Figma screen, so it is scoped fresh in Section 3–4 of this plan</w:t>
            </w:r>
          </w:p>
        </w:tc>
      </w:tr>
      <w:tr>
        <w:tc>
          <w:tcPr>
            <w:tcW w:type="dxa" w:w="2600"/>
            <w:shd w:fill="EFF3EE" w:val="clear"/>
            <w:tcMar>
              <w:top w:type="dxa" w:w="90"/>
              <w:left w:type="dxa" w:w="110"/>
              <w:bottom w:type="dxa" w:w="90"/>
              <w:right w:type="dxa" w:w="110"/>
            </w:tcMar>
            <w:vAlign w:val="center"/>
          </w:tcPr>
          <w:p>
            <w:r>
              <w:rPr>
                <w:b w:val="false"/>
                <w:bCs w:val="false"/>
                <w:color w:val="1A1A1A"/>
                <w:sz w:val="19"/>
                <w:szCs w:val="19"/>
              </w:rPr>
              <w:t xml:space="preserve">Legal &amp; safeguarding baseline</w:t>
            </w:r>
          </w:p>
        </w:tc>
        <w:tc>
          <w:tcPr>
            <w:tcW w:type="dxa" w:w="6750"/>
            <w:shd w:fill="EFF3EE" w:val="clear"/>
            <w:tcMar>
              <w:top w:type="dxa" w:w="90"/>
              <w:left w:type="dxa" w:w="110"/>
              <w:bottom w:type="dxa" w:w="90"/>
              <w:right w:type="dxa" w:w="110"/>
            </w:tcMar>
            <w:vAlign w:val="center"/>
          </w:tcPr>
          <w:p>
            <w:r>
              <w:rPr>
                <w:b w:val="false"/>
                <w:bCs w:val="false"/>
                <w:color w:val="1A1A1A"/>
                <w:sz w:val="19"/>
                <w:szCs w:val="19"/>
              </w:rPr>
              <w:t xml:space="preserve">Contact Us, Terms of Service, Privacy Policy; the age-gate and guardian-consent capture flow specified in full in Section 8</w:t>
            </w:r>
          </w:p>
        </w:tc>
      </w:tr>
    </w:tbl>
    <w:p>
      <w:pPr>
        <w:pStyle w:val="Heading2"/>
        <w:spacing w:after="160" w:before="320"/>
      </w:pPr>
      <w:r>
        <w:t xml:space="preserve">2.2 OUT — explicitly deferred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1900"/>
        <w:gridCol w:w="4000"/>
      </w:tblGrid>
      <w:tr>
        <w:trPr>
          <w:tblHeader/>
        </w:trPr>
        <w:tc>
          <w:tcPr>
            <w:tcW w:type="dxa" w:w="3450"/>
            <w:shd w:fill="12213A" w:val="clear"/>
            <w:tcMar>
              <w:top w:type="dxa" w:w="90"/>
              <w:left w:type="dxa" w:w="110"/>
              <w:bottom w:type="dxa" w:w="90"/>
              <w:right w:type="dxa" w:w="110"/>
            </w:tcMar>
            <w:vAlign w:val="center"/>
          </w:tcPr>
          <w:p>
            <w:r>
              <w:rPr>
                <w:b/>
                <w:bCs/>
                <w:color w:val="FFFFFF"/>
                <w:sz w:val="19"/>
                <w:szCs w:val="19"/>
              </w:rPr>
              <w:t xml:space="preserve">Feature</w:t>
            </w:r>
          </w:p>
        </w:tc>
        <w:tc>
          <w:tcPr>
            <w:tcW w:type="dxa" w:w="1900"/>
            <w:shd w:fill="12213A" w:val="clear"/>
            <w:tcMar>
              <w:top w:type="dxa" w:w="90"/>
              <w:left w:type="dxa" w:w="110"/>
              <w:bottom w:type="dxa" w:w="90"/>
              <w:right w:type="dxa" w:w="110"/>
            </w:tcMar>
            <w:vAlign w:val="center"/>
          </w:tcPr>
          <w:p>
            <w:r>
              <w:rPr>
                <w:b/>
                <w:bCs/>
                <w:color w:val="FFFFFF"/>
                <w:sz w:val="19"/>
                <w:szCs w:val="19"/>
              </w:rPr>
              <w:t xml:space="preserve">Deferred to</w:t>
            </w:r>
          </w:p>
        </w:tc>
        <w:tc>
          <w:tcPr>
            <w:tcW w:type="dxa" w:w="4000"/>
            <w:shd w:fill="12213A" w:val="clear"/>
            <w:tcMar>
              <w:top w:type="dxa" w:w="90"/>
              <w:left w:type="dxa" w:w="110"/>
              <w:bottom w:type="dxa" w:w="90"/>
              <w:right w:type="dxa" w:w="110"/>
            </w:tcMar>
            <w:vAlign w:val="center"/>
          </w:tcPr>
          <w:p>
            <w:r>
              <w:rPr>
                <w:b/>
                <w:bCs/>
                <w:color w:val="FFFFFF"/>
                <w:sz w:val="19"/>
                <w:szCs w:val="19"/>
              </w:rPr>
              <w:t xml:space="preserve">Why</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Discover / AI Scouting (Combine, Talent Passport, Score, Scout/Club CRM, video analysis, anti-fraud)</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 (Log Book V2)</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Log Book Section 20 explicitly avoids competing on AI scouting until Soccernity has its own dataset and credibility; building it now would contradict the entry strategy</w:t>
            </w:r>
          </w:p>
        </w:tc>
      </w:tr>
      <w:tr>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Careers &amp; Academy (job board, certification, Academy Marketplace, mentorship)</w:t>
            </w:r>
          </w:p>
        </w:tc>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Phase 2–3 (Log Book V1–V2)</w:t>
            </w:r>
          </w:p>
        </w:tc>
        <w:tc>
          <w:tcPr>
            <w:tcW w:type="dxa" w:w="4000"/>
            <w:shd w:fill="EFF3EE" w:val="clear"/>
            <w:tcMar>
              <w:top w:type="dxa" w:w="90"/>
              <w:left w:type="dxa" w:w="110"/>
              <w:bottom w:type="dxa" w:w="90"/>
              <w:right w:type="dxa" w:w="110"/>
            </w:tcMar>
            <w:vAlign w:val="center"/>
          </w:tcPr>
          <w:p>
            <w:r>
              <w:rPr>
                <w:b w:val="false"/>
                <w:bCs w:val="false"/>
                <w:color w:val="1A1A1A"/>
                <w:sz w:val="19"/>
                <w:szCs w:val="19"/>
              </w:rPr>
              <w:t xml:space="preserve">Zero screens exist yet (Log Book Section 23.3); needs its own design pass before engineering</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Prediction &amp; commentary challenges, AI Tactical Simulator/Twin</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The board's “Contest” section is an empty placeholder (Log Book Section 23.3); no design work to build from</w:t>
            </w:r>
          </w:p>
        </w:tc>
      </w:tr>
      <w:tr>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Rewards economy beyond the basic leaderboard (points, badges, any token mechanic)</w:t>
            </w:r>
          </w:p>
        </w:tc>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EFF3EE" w:val="clear"/>
            <w:tcMar>
              <w:top w:type="dxa" w:w="90"/>
              <w:left w:type="dxa" w:w="110"/>
              <w:bottom w:type="dxa" w:w="90"/>
              <w:right w:type="dxa" w:w="110"/>
            </w:tcMar>
            <w:vAlign w:val="center"/>
          </w:tcPr>
          <w:p>
            <w:r>
              <w:rPr>
                <w:b w:val="false"/>
                <w:bCs w:val="false"/>
                <w:color w:val="1A1A1A"/>
                <w:sz w:val="19"/>
                <w:szCs w:val="19"/>
              </w:rPr>
              <w:t xml:space="preserve">Log Book Section 21 flags any token mechanic as needing legal review before being built at all</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Payment &amp; subscription / premium tiers</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No monetisation need before the beachhead community has real engagement to monetise</w:t>
            </w:r>
          </w:p>
        </w:tc>
      </w:tr>
      <w:tr>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Vlog/podcast content type</w:t>
            </w:r>
          </w:p>
        </w:tc>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EFF3EE" w:val="clear"/>
            <w:tcMar>
              <w:top w:type="dxa" w:w="90"/>
              <w:left w:type="dxa" w:w="110"/>
              <w:bottom w:type="dxa" w:w="90"/>
              <w:right w:type="dxa" w:w="110"/>
            </w:tcMar>
            <w:vAlign w:val="center"/>
          </w:tcPr>
          <w:p>
            <w:r>
              <w:rPr>
                <w:b w:val="false"/>
                <w:bCs w:val="false"/>
                <w:color w:val="1A1A1A"/>
                <w:sz w:val="19"/>
                <w:szCs w:val="19"/>
              </w:rPr>
              <w:t xml:space="preserve">Blog covers the news/content need for launch; audio/video content hub is additive, not blocking</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Multi-language UI, full offline mode</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 (technical practices still apply — see Section 5.5)</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The language selector component exists in Figma but is unwired; low-bandwidth engineering discipline is cheaper to build in from day one than to retrofit, so that discipline is a Section 5 requirement even though the full feature ships later</w:t>
            </w:r>
          </w:p>
        </w:tc>
      </w:tr>
    </w:tbl>
    <w:p>
      <w:pPr>
        <w:spacing w:after="160" w:line="276"/>
      </w:pPr>
      <w:r>
        <w:t xml:space="preserve">Target: a working, launchable MVP in a single beachhead city, in roughly 13 weeks including a one-week setup sprint — see Section 6 for the week-by-week plan.</w:t>
      </w:r>
    </w:p>
    <w:p>
      <w:r>
        <w:br w:type="page"/>
      </w:r>
    </w:p>
    <w:p>
      <w:pPr>
        <w:pStyle w:val="Heading1"/>
        <w:spacing w:after="240" w:before="480"/>
      </w:pPr>
      <w:r>
        <w:rPr>
          <w:color w:val="C99A2E"/>
        </w:rPr>
        <w:t xml:space="preserve">3  </w:t>
      </w:r>
      <w:r>
        <w:t xml:space="preserve">Data Model</w:t>
      </w:r>
    </w:p>
    <w:p>
      <w:pPr>
        <w:spacing w:after="160" w:line="276"/>
      </w:pPr>
      <w:r>
        <w:t xml:space="preserve">Core entities for MVP v1. Field lists are the minimum needed to build against, not a full schema — add columns as implementation requires, but do not remove the safeguarding-related fields on User and Guardian without updating Section 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50"/>
      </w:tblGrid>
      <w:tr>
        <w:trPr>
          <w:tblHeader/>
        </w:trPr>
        <w:tc>
          <w:tcPr>
            <w:tcW w:type="dxa" w:w="1900"/>
            <w:shd w:fill="12213A" w:val="clear"/>
            <w:tcMar>
              <w:top w:type="dxa" w:w="90"/>
              <w:left w:type="dxa" w:w="110"/>
              <w:bottom w:type="dxa" w:w="90"/>
              <w:right w:type="dxa" w:w="110"/>
            </w:tcMar>
            <w:vAlign w:val="center"/>
          </w:tcPr>
          <w:p>
            <w:r>
              <w:rPr>
                <w:b/>
                <w:bCs/>
                <w:color w:val="FFFFFF"/>
                <w:sz w:val="19"/>
                <w:szCs w:val="19"/>
              </w:rPr>
              <w:t xml:space="preserve">Entity</w:t>
            </w:r>
          </w:p>
        </w:tc>
        <w:tc>
          <w:tcPr>
            <w:tcW w:type="dxa" w:w="4200"/>
            <w:shd w:fill="12213A" w:val="clear"/>
            <w:tcMar>
              <w:top w:type="dxa" w:w="90"/>
              <w:left w:type="dxa" w:w="110"/>
              <w:bottom w:type="dxa" w:w="90"/>
              <w:right w:type="dxa" w:w="110"/>
            </w:tcMar>
            <w:vAlign w:val="center"/>
          </w:tcPr>
          <w:p>
            <w:r>
              <w:rPr>
                <w:b/>
                <w:bCs/>
                <w:color w:val="FFFFFF"/>
                <w:sz w:val="19"/>
                <w:szCs w:val="19"/>
              </w:rPr>
              <w:t xml:space="preserve">Key fields</w:t>
            </w:r>
          </w:p>
        </w:tc>
        <w:tc>
          <w:tcPr>
            <w:tcW w:type="dxa" w:w="3250"/>
            <w:shd w:fill="12213A" w:val="clear"/>
            <w:tcMar>
              <w:top w:type="dxa" w:w="90"/>
              <w:left w:type="dxa" w:w="110"/>
              <w:bottom w:type="dxa" w:w="90"/>
              <w:right w:type="dxa" w:w="110"/>
            </w:tcMar>
            <w:vAlign w:val="center"/>
          </w:tcPr>
          <w:p>
            <w:r>
              <w:rPr>
                <w:b/>
                <w:bCs/>
                <w:color w:val="FFFFFF"/>
                <w:sz w:val="19"/>
                <w:szCs w:val="19"/>
              </w:rPr>
              <w:t xml:space="preserve">Relationships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User</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email, phone, password_hash, display_name, date_of_birth, is_minor, guardian_id (nullable), club_affiliation_id (nullable), role, verification_status, created_at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has one Guardian (if minor); belongs to one ClubPage; has many Posts, Follows, SavedPosts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Guardian</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minor_user_id, name, email, relationship, consent_status, consent_token, consent_timestamp</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minor User — see Section 8.3 for the full consent flow this supports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ClubPage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name, league, country, logo_url, member_count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has many Users (members); has many Posts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GrassrootsTeam</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name, city, league_type, created_by_user_id, verified</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has many Fixtures; created by one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Fixture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team_a_id, team_b_id (nullable), scheduled_at, venue, status</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GrassrootsTeam(s); has one Result</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Result</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fixture_id, score_a, score_b, entered_by_user_id, entered_at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Fixture</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Post</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author_id, content_text, media_urls[], club_page_id (nullable), banter_room_id (nullable), like_count, comment_count, created_at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User; optionally to one ClubPage or BanterRoom; has many Comments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Comment</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post_id, author_id, content_text,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Post and one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BanterRoom</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name, scope_type (club/league/country/topic), created_by, member_count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has many Posts (topics)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Conversation</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participant_ids[],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has many Messages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Message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conversation_id, sender_id, content_text, media_url (nullable), sent_at, read_at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Conversation</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Notification</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user_id, type, payload_ref_id, read,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SavedPost</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user_id, post_id, saved_at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join table between User and Post</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Follow</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follower_id, followee_id</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join table, User to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Report</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reporter_id, target_type, target_id, reason, status, created_at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feeds the Admin moderation queue — Section 8.4</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MediaAsset</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uploader_id, url, type, size,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referenced by Post, Article, Profile</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Article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title, body, category_id, author_admin_id, status, published_at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Category; authored by one AdminUser</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Category</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name, slug</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has many Articles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AdminUser</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email, role (editor/moderator/superadmin)</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authors Articles; actions Reports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MatchData (cached, external)</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external_ref, competition, teams, score, status, kickoff_time</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synced on a schedule from the licensed sports-data API — Section 5.3</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LeaderboardEntry</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user_id, points, rank, period</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User; recalculated on a schedule</w:t>
            </w:r>
          </w:p>
        </w:tc>
      </w:tr>
    </w:tbl>
    <w:p>
      <w:pPr>
        <w:spacing w:after="160" w:line="276"/>
      </w:pPr>
      <w:r>
        <w:t xml:space="preserve">Note the deliberate absence of any Discover-pillar entities (Player Passport, Combine Score, Scout CRM records) or Careers-pillar entities (Job Listing, Certification) — consistent with the scope cut in Section 2.2, these are not modelled until Phase 2.</w:t>
      </w:r>
    </w:p>
    <w:p>
      <w:r>
        <w:br w:type="page"/>
      </w:r>
    </w:p>
    <w:p>
      <w:pPr>
        <w:pStyle w:val="Heading1"/>
        <w:spacing w:after="240" w:before="480"/>
      </w:pPr>
      <w:r>
        <w:rPr>
          <w:color w:val="C99A2E"/>
        </w:rPr>
        <w:t xml:space="preserve">4  </w:t>
      </w:r>
      <w:r>
        <w:t xml:space="preserve">API Contract Sketch</w:t>
      </w:r>
    </w:p>
    <w:p>
      <w:pPr>
        <w:spacing w:after="160" w:line="276"/>
      </w:pPr>
      <w:r>
        <w:t xml:space="preserve">Grouped by service, matching the microservices direction in Log Book Section 8. This is a build-ready endpoint list, not a full OpenAPI spec — an engineer should treat each line as a scaffolding target.</w:t>
      </w:r>
    </w:p>
    <w:p>
      <w:pPr>
        <w:pStyle w:val="Heading2"/>
        <w:spacing w:after="160" w:before="320"/>
      </w:pPr>
      <w:r>
        <w:t xml:space="preserve">4.1 Auth Service</w:t>
      </w:r>
    </w:p>
    <w:p>
      <w:pPr>
        <w:spacing w:after="40"/>
      </w:pPr>
      <w:r>
        <w:rPr>
          <w:rFonts w:ascii="Consolas" w:cs="Consolas" w:eastAsia="Consolas" w:hAnsi="Consolas"/>
          <w:color w:val="12213A"/>
          <w:sz w:val="19"/>
          <w:szCs w:val="19"/>
        </w:rPr>
        <w:t xml:space="preserve">POST   /auth/register</w:t>
      </w:r>
    </w:p>
    <w:p>
      <w:pPr>
        <w:spacing w:after="40"/>
      </w:pPr>
      <w:r>
        <w:rPr>
          <w:rFonts w:ascii="Consolas" w:cs="Consolas" w:eastAsia="Consolas" w:hAnsi="Consolas"/>
          <w:color w:val="12213A"/>
          <w:sz w:val="19"/>
          <w:szCs w:val="19"/>
        </w:rPr>
        <w:t xml:space="preserve">POST   /auth/login</w:t>
      </w:r>
    </w:p>
    <w:p>
      <w:pPr>
        <w:spacing w:after="40"/>
      </w:pPr>
      <w:r>
        <w:rPr>
          <w:rFonts w:ascii="Consolas" w:cs="Consolas" w:eastAsia="Consolas" w:hAnsi="Consolas"/>
          <w:color w:val="12213A"/>
          <w:sz w:val="19"/>
          <w:szCs w:val="19"/>
        </w:rPr>
        <w:t xml:space="preserve">POST   /auth/forgot-password</w:t>
      </w:r>
    </w:p>
    <w:p>
      <w:pPr>
        <w:spacing w:after="40"/>
      </w:pPr>
      <w:r>
        <w:rPr>
          <w:rFonts w:ascii="Consolas" w:cs="Consolas" w:eastAsia="Consolas" w:hAnsi="Consolas"/>
          <w:color w:val="12213A"/>
          <w:sz w:val="19"/>
          <w:szCs w:val="19"/>
        </w:rPr>
        <w:t xml:space="preserve">POST   /auth/reset-password</w:t>
      </w:r>
    </w:p>
    <w:p>
      <w:pPr>
        <w:spacing w:after="40"/>
      </w:pPr>
      <w:r>
        <w:rPr>
          <w:rFonts w:ascii="Consolas" w:cs="Consolas" w:eastAsia="Consolas" w:hAnsi="Consolas"/>
          <w:color w:val="12213A"/>
          <w:sz w:val="19"/>
          <w:szCs w:val="19"/>
        </w:rPr>
        <w:t xml:space="preserve">POST   /auth/verify-email</w:t>
      </w:r>
    </w:p>
    <w:p>
      <w:pPr>
        <w:spacing w:after="40"/>
      </w:pPr>
      <w:r>
        <w:rPr>
          <w:rFonts w:ascii="Consolas" w:cs="Consolas" w:eastAsia="Consolas" w:hAnsi="Consolas"/>
          <w:color w:val="12213A"/>
          <w:sz w:val="19"/>
          <w:szCs w:val="19"/>
        </w:rPr>
        <w:t xml:space="preserve">POST   /auth/guardian-consent          — minor account guardian email + relationship</w:t>
      </w:r>
    </w:p>
    <w:p>
      <w:pPr>
        <w:spacing w:after="40"/>
      </w:pPr>
      <w:r>
        <w:rPr>
          <w:rFonts w:ascii="Consolas" w:cs="Consolas" w:eastAsia="Consolas" w:hAnsi="Consolas"/>
          <w:color w:val="12213A"/>
          <w:sz w:val="19"/>
          <w:szCs w:val="19"/>
        </w:rPr>
        <w:t xml:space="preserve">GET    /auth/me</w:t>
      </w:r>
    </w:p>
    <w:p>
      <w:pPr>
        <w:pStyle w:val="Heading2"/>
        <w:spacing w:after="160" w:before="320"/>
      </w:pPr>
      <w:r>
        <w:t xml:space="preserve">4.2 User Service</w:t>
      </w:r>
    </w:p>
    <w:p>
      <w:pPr>
        <w:spacing w:after="40"/>
      </w:pPr>
      <w:r>
        <w:rPr>
          <w:rFonts w:ascii="Consolas" w:cs="Consolas" w:eastAsia="Consolas" w:hAnsi="Consolas"/>
          <w:color w:val="12213A"/>
          <w:sz w:val="19"/>
          <w:szCs w:val="19"/>
        </w:rPr>
        <w:t xml:space="preserve">GET    /users/:id</w:t>
      </w:r>
    </w:p>
    <w:p>
      <w:pPr>
        <w:spacing w:after="40"/>
      </w:pPr>
      <w:r>
        <w:rPr>
          <w:rFonts w:ascii="Consolas" w:cs="Consolas" w:eastAsia="Consolas" w:hAnsi="Consolas"/>
          <w:color w:val="12213A"/>
          <w:sz w:val="19"/>
          <w:szCs w:val="19"/>
        </w:rPr>
        <w:t xml:space="preserve">PATCH  /users/:id</w:t>
      </w:r>
    </w:p>
    <w:p>
      <w:pPr>
        <w:spacing w:after="40"/>
      </w:pPr>
      <w:r>
        <w:rPr>
          <w:rFonts w:ascii="Consolas" w:cs="Consolas" w:eastAsia="Consolas" w:hAnsi="Consolas"/>
          <w:color w:val="12213A"/>
          <w:sz w:val="19"/>
          <w:szCs w:val="19"/>
        </w:rPr>
        <w:t xml:space="preserve">GET    /users/:id/profile</w:t>
      </w:r>
    </w:p>
    <w:p>
      <w:pPr>
        <w:spacing w:after="40"/>
      </w:pPr>
      <w:r>
        <w:rPr>
          <w:rFonts w:ascii="Consolas" w:cs="Consolas" w:eastAsia="Consolas" w:hAnsi="Consolas"/>
          <w:color w:val="12213A"/>
          <w:sz w:val="19"/>
          <w:szCs w:val="19"/>
        </w:rPr>
        <w:t xml:space="preserve">POST   /users/:id/follow</w:t>
      </w:r>
    </w:p>
    <w:p>
      <w:pPr>
        <w:spacing w:after="40"/>
      </w:pPr>
      <w:r>
        <w:rPr>
          <w:rFonts w:ascii="Consolas" w:cs="Consolas" w:eastAsia="Consolas" w:hAnsi="Consolas"/>
          <w:color w:val="12213A"/>
          <w:sz w:val="19"/>
          <w:szCs w:val="19"/>
        </w:rPr>
        <w:t xml:space="preserve">DELETE /users/:id/follow</w:t>
      </w:r>
    </w:p>
    <w:p>
      <w:pPr>
        <w:spacing w:after="40"/>
      </w:pPr>
      <w:r>
        <w:rPr>
          <w:rFonts w:ascii="Consolas" w:cs="Consolas" w:eastAsia="Consolas" w:hAnsi="Consolas"/>
          <w:color w:val="12213A"/>
          <w:sz w:val="19"/>
          <w:szCs w:val="19"/>
        </w:rPr>
        <w:t xml:space="preserve">GET    /users/:id/followers</w:t>
      </w:r>
    </w:p>
    <w:p>
      <w:pPr>
        <w:spacing w:after="40"/>
      </w:pPr>
      <w:r>
        <w:rPr>
          <w:rFonts w:ascii="Consolas" w:cs="Consolas" w:eastAsia="Consolas" w:hAnsi="Consolas"/>
          <w:color w:val="12213A"/>
          <w:sz w:val="19"/>
          <w:szCs w:val="19"/>
        </w:rPr>
        <w:t xml:space="preserve">GET    /users/:id/following</w:t>
      </w:r>
    </w:p>
    <w:p>
      <w:pPr>
        <w:pStyle w:val="Heading2"/>
        <w:spacing w:after="160" w:before="320"/>
      </w:pPr>
      <w:r>
        <w:t xml:space="preserve">4.3 Feed Service</w:t>
      </w:r>
    </w:p>
    <w:p>
      <w:pPr>
        <w:spacing w:after="40"/>
      </w:pPr>
      <w:r>
        <w:rPr>
          <w:rFonts w:ascii="Consolas" w:cs="Consolas" w:eastAsia="Consolas" w:hAnsi="Consolas"/>
          <w:color w:val="12213A"/>
          <w:sz w:val="19"/>
          <w:szCs w:val="19"/>
        </w:rPr>
        <w:t xml:space="preserve">POST   /posts</w:t>
      </w:r>
    </w:p>
    <w:p>
      <w:pPr>
        <w:spacing w:after="40"/>
      </w:pPr>
      <w:r>
        <w:rPr>
          <w:rFonts w:ascii="Consolas" w:cs="Consolas" w:eastAsia="Consolas" w:hAnsi="Consolas"/>
          <w:color w:val="12213A"/>
          <w:sz w:val="19"/>
          <w:szCs w:val="19"/>
        </w:rPr>
        <w:t xml:space="preserve">GET    /posts/feed</w:t>
      </w:r>
    </w:p>
    <w:p>
      <w:pPr>
        <w:spacing w:after="40"/>
      </w:pPr>
      <w:r>
        <w:rPr>
          <w:rFonts w:ascii="Consolas" w:cs="Consolas" w:eastAsia="Consolas" w:hAnsi="Consolas"/>
          <w:color w:val="12213A"/>
          <w:sz w:val="19"/>
          <w:szCs w:val="19"/>
        </w:rPr>
        <w:t xml:space="preserve">GET    /posts/:id</w:t>
      </w:r>
    </w:p>
    <w:p>
      <w:pPr>
        <w:spacing w:after="40"/>
      </w:pPr>
      <w:r>
        <w:rPr>
          <w:rFonts w:ascii="Consolas" w:cs="Consolas" w:eastAsia="Consolas" w:hAnsi="Consolas"/>
          <w:color w:val="12213A"/>
          <w:sz w:val="19"/>
          <w:szCs w:val="19"/>
        </w:rPr>
        <w:t xml:space="preserve">POST   /posts/:id/like</w:t>
      </w:r>
    </w:p>
    <w:p>
      <w:pPr>
        <w:spacing w:after="40"/>
      </w:pPr>
      <w:r>
        <w:rPr>
          <w:rFonts w:ascii="Consolas" w:cs="Consolas" w:eastAsia="Consolas" w:hAnsi="Consolas"/>
          <w:color w:val="12213A"/>
          <w:sz w:val="19"/>
          <w:szCs w:val="19"/>
        </w:rPr>
        <w:t xml:space="preserve">DELETE /posts/:id/like</w:t>
      </w:r>
    </w:p>
    <w:p>
      <w:pPr>
        <w:spacing w:after="40"/>
      </w:pPr>
      <w:r>
        <w:rPr>
          <w:rFonts w:ascii="Consolas" w:cs="Consolas" w:eastAsia="Consolas" w:hAnsi="Consolas"/>
          <w:color w:val="12213A"/>
          <w:sz w:val="19"/>
          <w:szCs w:val="19"/>
        </w:rPr>
        <w:t xml:space="preserve">POST   /posts/:id/comments</w:t>
      </w:r>
    </w:p>
    <w:p>
      <w:pPr>
        <w:spacing w:after="40"/>
      </w:pPr>
      <w:r>
        <w:rPr>
          <w:rFonts w:ascii="Consolas" w:cs="Consolas" w:eastAsia="Consolas" w:hAnsi="Consolas"/>
          <w:color w:val="12213A"/>
          <w:sz w:val="19"/>
          <w:szCs w:val="19"/>
        </w:rPr>
        <w:t xml:space="preserve">GET    /posts/:id/comments</w:t>
      </w:r>
    </w:p>
    <w:p>
      <w:pPr>
        <w:spacing w:after="40"/>
      </w:pPr>
      <w:r>
        <w:rPr>
          <w:rFonts w:ascii="Consolas" w:cs="Consolas" w:eastAsia="Consolas" w:hAnsi="Consolas"/>
          <w:color w:val="12213A"/>
          <w:sz w:val="19"/>
          <w:szCs w:val="19"/>
        </w:rPr>
        <w:t xml:space="preserve">POST   /posts/:id/save</w:t>
      </w:r>
    </w:p>
    <w:p>
      <w:pPr>
        <w:spacing w:after="40"/>
      </w:pPr>
      <w:r>
        <w:rPr>
          <w:rFonts w:ascii="Consolas" w:cs="Consolas" w:eastAsia="Consolas" w:hAnsi="Consolas"/>
          <w:color w:val="12213A"/>
          <w:sz w:val="19"/>
          <w:szCs w:val="19"/>
        </w:rPr>
        <w:t xml:space="preserve">DELETE /posts/:id/save</w:t>
      </w:r>
    </w:p>
    <w:p>
      <w:pPr>
        <w:spacing w:after="40"/>
      </w:pPr>
      <w:r>
        <w:rPr>
          <w:rFonts w:ascii="Consolas" w:cs="Consolas" w:eastAsia="Consolas" w:hAnsi="Consolas"/>
          <w:color w:val="12213A"/>
          <w:sz w:val="19"/>
          <w:szCs w:val="19"/>
        </w:rPr>
        <w:t xml:space="preserve">GET    /users/:id/saved-posts</w:t>
      </w:r>
    </w:p>
    <w:p>
      <w:pPr>
        <w:pStyle w:val="Heading2"/>
        <w:spacing w:after="160" w:before="320"/>
      </w:pPr>
      <w:r>
        <w:t xml:space="preserve">4.4 Club &amp; Banter Service</w:t>
      </w:r>
    </w:p>
    <w:p>
      <w:pPr>
        <w:spacing w:after="40"/>
      </w:pPr>
      <w:r>
        <w:rPr>
          <w:rFonts w:ascii="Consolas" w:cs="Consolas" w:eastAsia="Consolas" w:hAnsi="Consolas"/>
          <w:color w:val="12213A"/>
          <w:sz w:val="19"/>
          <w:szCs w:val="19"/>
        </w:rPr>
        <w:t xml:space="preserve">GET    /clubs</w:t>
      </w:r>
    </w:p>
    <w:p>
      <w:pPr>
        <w:spacing w:after="40"/>
      </w:pPr>
      <w:r>
        <w:rPr>
          <w:rFonts w:ascii="Consolas" w:cs="Consolas" w:eastAsia="Consolas" w:hAnsi="Consolas"/>
          <w:color w:val="12213A"/>
          <w:sz w:val="19"/>
          <w:szCs w:val="19"/>
        </w:rPr>
        <w:t xml:space="preserve">GET    /clubs/:id</w:t>
      </w:r>
    </w:p>
    <w:p>
      <w:pPr>
        <w:spacing w:after="40"/>
      </w:pPr>
      <w:r>
        <w:rPr>
          <w:rFonts w:ascii="Consolas" w:cs="Consolas" w:eastAsia="Consolas" w:hAnsi="Consolas"/>
          <w:color w:val="12213A"/>
          <w:sz w:val="19"/>
          <w:szCs w:val="19"/>
        </w:rPr>
        <w:t xml:space="preserve">POST   /clubs/:id/join</w:t>
      </w:r>
    </w:p>
    <w:p>
      <w:pPr>
        <w:spacing w:after="40"/>
      </w:pPr>
      <w:r>
        <w:rPr>
          <w:rFonts w:ascii="Consolas" w:cs="Consolas" w:eastAsia="Consolas" w:hAnsi="Consolas"/>
          <w:color w:val="12213A"/>
          <w:sz w:val="19"/>
          <w:szCs w:val="19"/>
        </w:rPr>
        <w:t xml:space="preserve">GET    /banter-rooms</w:t>
      </w:r>
    </w:p>
    <w:p>
      <w:pPr>
        <w:spacing w:after="40"/>
      </w:pPr>
      <w:r>
        <w:rPr>
          <w:rFonts w:ascii="Consolas" w:cs="Consolas" w:eastAsia="Consolas" w:hAnsi="Consolas"/>
          <w:color w:val="12213A"/>
          <w:sz w:val="19"/>
          <w:szCs w:val="19"/>
        </w:rPr>
        <w:t xml:space="preserve">GET    /banter-rooms/:id</w:t>
      </w:r>
    </w:p>
    <w:p>
      <w:pPr>
        <w:spacing w:after="40"/>
      </w:pPr>
      <w:r>
        <w:rPr>
          <w:rFonts w:ascii="Consolas" w:cs="Consolas" w:eastAsia="Consolas" w:hAnsi="Consolas"/>
          <w:color w:val="12213A"/>
          <w:sz w:val="19"/>
          <w:szCs w:val="19"/>
        </w:rPr>
        <w:t xml:space="preserve">POST   /banter-rooms</w:t>
      </w:r>
    </w:p>
    <w:p>
      <w:pPr>
        <w:spacing w:after="40"/>
      </w:pPr>
      <w:r>
        <w:rPr>
          <w:rFonts w:ascii="Consolas" w:cs="Consolas" w:eastAsia="Consolas" w:hAnsi="Consolas"/>
          <w:color w:val="12213A"/>
          <w:sz w:val="19"/>
          <w:szCs w:val="19"/>
        </w:rPr>
        <w:t xml:space="preserve">POST   /banter-rooms/:id/topics</w:t>
      </w:r>
    </w:p>
    <w:p>
      <w:pPr>
        <w:spacing w:after="40"/>
      </w:pPr>
      <w:r>
        <w:rPr>
          <w:rFonts w:ascii="Consolas" w:cs="Consolas" w:eastAsia="Consolas" w:hAnsi="Consolas"/>
          <w:color w:val="12213A"/>
          <w:sz w:val="19"/>
          <w:szCs w:val="19"/>
        </w:rPr>
        <w:t xml:space="preserve">GET    /banter-rooms/search?q=</w:t>
      </w:r>
    </w:p>
    <w:p>
      <w:pPr>
        <w:pStyle w:val="Heading2"/>
        <w:spacing w:after="160" w:before="320"/>
      </w:pPr>
      <w:r>
        <w:t xml:space="preserve">4.5 Grassroots Records Service (new)</w:t>
      </w:r>
    </w:p>
    <w:p>
      <w:pPr>
        <w:spacing w:after="40"/>
      </w:pPr>
      <w:r>
        <w:rPr>
          <w:rFonts w:ascii="Consolas" w:cs="Consolas" w:eastAsia="Consolas" w:hAnsi="Consolas"/>
          <w:color w:val="12213A"/>
          <w:sz w:val="19"/>
          <w:szCs w:val="19"/>
        </w:rPr>
        <w:t xml:space="preserve">POST   /teams</w:t>
      </w:r>
    </w:p>
    <w:p>
      <w:pPr>
        <w:spacing w:after="40"/>
      </w:pPr>
      <w:r>
        <w:rPr>
          <w:rFonts w:ascii="Consolas" w:cs="Consolas" w:eastAsia="Consolas" w:hAnsi="Consolas"/>
          <w:color w:val="12213A"/>
          <w:sz w:val="19"/>
          <w:szCs w:val="19"/>
        </w:rPr>
        <w:t xml:space="preserve">GET    /teams/:id</w:t>
      </w:r>
    </w:p>
    <w:p>
      <w:pPr>
        <w:spacing w:after="40"/>
      </w:pPr>
      <w:r>
        <w:rPr>
          <w:rFonts w:ascii="Consolas" w:cs="Consolas" w:eastAsia="Consolas" w:hAnsi="Consolas"/>
          <w:color w:val="12213A"/>
          <w:sz w:val="19"/>
          <w:szCs w:val="19"/>
        </w:rPr>
        <w:t xml:space="preserve">GET    /teams?city=</w:t>
      </w:r>
    </w:p>
    <w:p>
      <w:pPr>
        <w:spacing w:after="40"/>
      </w:pPr>
      <w:r>
        <w:rPr>
          <w:rFonts w:ascii="Consolas" w:cs="Consolas" w:eastAsia="Consolas" w:hAnsi="Consolas"/>
          <w:color w:val="12213A"/>
          <w:sz w:val="19"/>
          <w:szCs w:val="19"/>
        </w:rPr>
        <w:t xml:space="preserve">POST   /fixtures</w:t>
      </w:r>
    </w:p>
    <w:p>
      <w:pPr>
        <w:spacing w:after="40"/>
      </w:pPr>
      <w:r>
        <w:rPr>
          <w:rFonts w:ascii="Consolas" w:cs="Consolas" w:eastAsia="Consolas" w:hAnsi="Consolas"/>
          <w:color w:val="12213A"/>
          <w:sz w:val="19"/>
          <w:szCs w:val="19"/>
        </w:rPr>
        <w:t xml:space="preserve">GET    /fixtures/:id</w:t>
      </w:r>
    </w:p>
    <w:p>
      <w:pPr>
        <w:spacing w:after="40"/>
      </w:pPr>
      <w:r>
        <w:rPr>
          <w:rFonts w:ascii="Consolas" w:cs="Consolas" w:eastAsia="Consolas" w:hAnsi="Consolas"/>
          <w:color w:val="12213A"/>
          <w:sz w:val="19"/>
          <w:szCs w:val="19"/>
        </w:rPr>
        <w:t xml:space="preserve">POST   /fixtures/:id/result</w:t>
      </w:r>
    </w:p>
    <w:p>
      <w:pPr>
        <w:spacing w:after="40"/>
      </w:pPr>
      <w:r>
        <w:rPr>
          <w:rFonts w:ascii="Consolas" w:cs="Consolas" w:eastAsia="Consolas" w:hAnsi="Consolas"/>
          <w:color w:val="12213A"/>
          <w:sz w:val="19"/>
          <w:szCs w:val="19"/>
        </w:rPr>
        <w:t xml:space="preserve">GET    /teams/:id/fixtures</w:t>
      </w:r>
    </w:p>
    <w:p>
      <w:pPr>
        <w:pStyle w:val="Heading2"/>
        <w:spacing w:after="160" w:before="320"/>
      </w:pPr>
      <w:r>
        <w:t xml:space="preserve">4.6 Sports Hub Service</w:t>
      </w:r>
    </w:p>
    <w:p>
      <w:pPr>
        <w:spacing w:after="40"/>
      </w:pPr>
      <w:r>
        <w:rPr>
          <w:rFonts w:ascii="Consolas" w:cs="Consolas" w:eastAsia="Consolas" w:hAnsi="Consolas"/>
          <w:color w:val="12213A"/>
          <w:sz w:val="19"/>
          <w:szCs w:val="19"/>
        </w:rPr>
        <w:t xml:space="preserve">GET    /sports/live-scores</w:t>
      </w:r>
    </w:p>
    <w:p>
      <w:pPr>
        <w:spacing w:after="40"/>
      </w:pPr>
      <w:r>
        <w:rPr>
          <w:rFonts w:ascii="Consolas" w:cs="Consolas" w:eastAsia="Consolas" w:hAnsi="Consolas"/>
          <w:color w:val="12213A"/>
          <w:sz w:val="19"/>
          <w:szCs w:val="19"/>
        </w:rPr>
        <w:t xml:space="preserve">GET    /sports/fixtures?date=</w:t>
      </w:r>
    </w:p>
    <w:p>
      <w:pPr>
        <w:spacing w:after="40"/>
      </w:pPr>
      <w:r>
        <w:rPr>
          <w:rFonts w:ascii="Consolas" w:cs="Consolas" w:eastAsia="Consolas" w:hAnsi="Consolas"/>
          <w:color w:val="12213A"/>
          <w:sz w:val="19"/>
          <w:szCs w:val="19"/>
        </w:rPr>
        <w:t xml:space="preserve">GET    /sports/matches/:id</w:t>
      </w:r>
    </w:p>
    <w:p>
      <w:pPr>
        <w:spacing w:after="40"/>
      </w:pPr>
      <w:r>
        <w:rPr>
          <w:rFonts w:ascii="Consolas" w:cs="Consolas" w:eastAsia="Consolas" w:hAnsi="Consolas"/>
          <w:color w:val="12213A"/>
          <w:sz w:val="19"/>
          <w:szCs w:val="19"/>
        </w:rPr>
        <w:t xml:space="preserve">GET    /sports/matches/:id/stats</w:t>
      </w:r>
    </w:p>
    <w:p>
      <w:pPr>
        <w:spacing w:after="40"/>
      </w:pPr>
      <w:r>
        <w:rPr>
          <w:rFonts w:ascii="Consolas" w:cs="Consolas" w:eastAsia="Consolas" w:hAnsi="Consolas"/>
          <w:color w:val="12213A"/>
          <w:sz w:val="19"/>
          <w:szCs w:val="19"/>
        </w:rPr>
        <w:t xml:space="preserve">GET    /sports/matches/:id/lineups</w:t>
      </w:r>
    </w:p>
    <w:p>
      <w:pPr>
        <w:spacing w:after="40"/>
      </w:pPr>
      <w:r>
        <w:rPr>
          <w:rFonts w:ascii="Consolas" w:cs="Consolas" w:eastAsia="Consolas" w:hAnsi="Consolas"/>
          <w:color w:val="12213A"/>
          <w:sz w:val="19"/>
          <w:szCs w:val="19"/>
        </w:rPr>
        <w:t xml:space="preserve">GET    /sports/matches/:id/h2h</w:t>
      </w:r>
    </w:p>
    <w:p>
      <w:pPr>
        <w:spacing w:after="40"/>
      </w:pPr>
      <w:r>
        <w:rPr>
          <w:rFonts w:ascii="Consolas" w:cs="Consolas" w:eastAsia="Consolas" w:hAnsi="Consolas"/>
          <w:color w:val="12213A"/>
          <w:sz w:val="19"/>
          <w:szCs w:val="19"/>
        </w:rPr>
        <w:t xml:space="preserve">GET    /sports/standings?league=</w:t>
      </w:r>
    </w:p>
    <w:p>
      <w:pPr>
        <w:spacing w:after="40"/>
      </w:pPr>
      <w:r>
        <w:rPr>
          <w:rFonts w:ascii="Consolas" w:cs="Consolas" w:eastAsia="Consolas" w:hAnsi="Consolas"/>
          <w:color w:val="12213A"/>
          <w:sz w:val="19"/>
          <w:szCs w:val="19"/>
        </w:rPr>
        <w:t xml:space="preserve">GET    /sports/highlights/:matchId</w:t>
      </w:r>
    </w:p>
    <w:p>
      <w:pPr>
        <w:pStyle w:val="Heading2"/>
        <w:spacing w:after="160" w:before="320"/>
      </w:pPr>
      <w:r>
        <w:t xml:space="preserve">4.7 Content, Messaging, Notification &amp; Search Services</w:t>
      </w:r>
    </w:p>
    <w:p>
      <w:pPr>
        <w:spacing w:after="40"/>
      </w:pPr>
      <w:r>
        <w:rPr>
          <w:rFonts w:ascii="Consolas" w:cs="Consolas" w:eastAsia="Consolas" w:hAnsi="Consolas"/>
          <w:color w:val="12213A"/>
          <w:sz w:val="19"/>
          <w:szCs w:val="19"/>
        </w:rPr>
        <w:t xml:space="preserve">GET    /articles                      GET /articles/:id      GET /categories</w:t>
      </w:r>
    </w:p>
    <w:p>
      <w:pPr>
        <w:spacing w:after="40"/>
      </w:pPr>
      <w:r>
        <w:rPr>
          <w:rFonts w:ascii="Consolas" w:cs="Consolas" w:eastAsia="Consolas" w:hAnsi="Consolas"/>
          <w:color w:val="12213A"/>
          <w:sz w:val="19"/>
          <w:szCs w:val="19"/>
        </w:rPr>
        <w:t xml:space="preserve">GET    /conversations                 POST /conversations</w:t>
      </w:r>
    </w:p>
    <w:p>
      <w:pPr>
        <w:spacing w:after="40"/>
      </w:pPr>
      <w:r>
        <w:rPr>
          <w:rFonts w:ascii="Consolas" w:cs="Consolas" w:eastAsia="Consolas" w:hAnsi="Consolas"/>
          <w:color w:val="12213A"/>
          <w:sz w:val="19"/>
          <w:szCs w:val="19"/>
        </w:rPr>
        <w:t xml:space="preserve">GET    /conversations/:id/messages     POST /conversations/:id/messages</w:t>
      </w:r>
    </w:p>
    <w:p>
      <w:pPr>
        <w:spacing w:after="40"/>
      </w:pPr>
      <w:r>
        <w:rPr>
          <w:rFonts w:ascii="Consolas" w:cs="Consolas" w:eastAsia="Consolas" w:hAnsi="Consolas"/>
          <w:color w:val="12213A"/>
          <w:sz w:val="19"/>
          <w:szCs w:val="19"/>
        </w:rPr>
        <w:t xml:space="preserve">GET    /notifications                 PATCH /notifications/:id/read</w:t>
      </w:r>
    </w:p>
    <w:p>
      <w:pPr>
        <w:spacing w:after="40"/>
      </w:pPr>
      <w:r>
        <w:rPr>
          <w:rFonts w:ascii="Consolas" w:cs="Consolas" w:eastAsia="Consolas" w:hAnsi="Consolas"/>
          <w:color w:val="12213A"/>
          <w:sz w:val="19"/>
          <w:szCs w:val="19"/>
        </w:rPr>
        <w:t xml:space="preserve">PATCH  /notifications/read-all</w:t>
      </w:r>
    </w:p>
    <w:p>
      <w:pPr>
        <w:spacing w:after="40"/>
      </w:pPr>
      <w:r>
        <w:rPr>
          <w:rFonts w:ascii="Consolas" w:cs="Consolas" w:eastAsia="Consolas" w:hAnsi="Consolas"/>
          <w:color w:val="12213A"/>
          <w:sz w:val="19"/>
          <w:szCs w:val="19"/>
        </w:rPr>
        <w:t xml:space="preserve">GET    /search?q=                     GET /trending</w:t>
      </w:r>
    </w:p>
    <w:p>
      <w:pPr>
        <w:pStyle w:val="Heading2"/>
        <w:spacing w:after="160" w:before="320"/>
      </w:pPr>
      <w:r>
        <w:t xml:space="preserve">4.8 Admin Service</w:t>
      </w:r>
    </w:p>
    <w:p>
      <w:pPr>
        <w:spacing w:after="40"/>
      </w:pPr>
      <w:r>
        <w:rPr>
          <w:rFonts w:ascii="Consolas" w:cs="Consolas" w:eastAsia="Consolas" w:hAnsi="Consolas"/>
          <w:color w:val="12213A"/>
          <w:sz w:val="19"/>
          <w:szCs w:val="19"/>
        </w:rPr>
        <w:t xml:space="preserve">GET    /admin/dashboard/stats</w:t>
      </w:r>
    </w:p>
    <w:p>
      <w:pPr>
        <w:spacing w:after="40"/>
      </w:pPr>
      <w:r>
        <w:rPr>
          <w:rFonts w:ascii="Consolas" w:cs="Consolas" w:eastAsia="Consolas" w:hAnsi="Consolas"/>
          <w:color w:val="12213A"/>
          <w:sz w:val="19"/>
          <w:szCs w:val="19"/>
        </w:rPr>
        <w:t xml:space="preserve">POST   /admin/articles                PATCH /admin/articles/:id</w:t>
      </w:r>
    </w:p>
    <w:p>
      <w:pPr>
        <w:spacing w:after="40"/>
      </w:pPr>
      <w:r>
        <w:rPr>
          <w:rFonts w:ascii="Consolas" w:cs="Consolas" w:eastAsia="Consolas" w:hAnsi="Consolas"/>
          <w:color w:val="12213A"/>
          <w:sz w:val="19"/>
          <w:szCs w:val="19"/>
        </w:rPr>
        <w:t xml:space="preserve">POST   /admin/categories</w:t>
      </w:r>
    </w:p>
    <w:p>
      <w:pPr>
        <w:spacing w:after="40"/>
      </w:pPr>
      <w:r>
        <w:rPr>
          <w:rFonts w:ascii="Consolas" w:cs="Consolas" w:eastAsia="Consolas" w:hAnsi="Consolas"/>
          <w:color w:val="12213A"/>
          <w:sz w:val="19"/>
          <w:szCs w:val="19"/>
        </w:rPr>
        <w:t xml:space="preserve">GET    /admin/users                   PATCH /admin/users/:id</w:t>
      </w:r>
    </w:p>
    <w:p>
      <w:pPr>
        <w:spacing w:after="40"/>
      </w:pPr>
      <w:r>
        <w:rPr>
          <w:rFonts w:ascii="Consolas" w:cs="Consolas" w:eastAsia="Consolas" w:hAnsi="Consolas"/>
          <w:color w:val="12213A"/>
          <w:sz w:val="19"/>
          <w:szCs w:val="19"/>
        </w:rPr>
        <w:t xml:space="preserve">GET    /admin/moderation/reports       PATCH /admin/moderation/reports/:id</w:t>
      </w:r>
    </w:p>
    <w:p>
      <w:pPr>
        <w:spacing w:after="40"/>
      </w:pPr>
      <w:r>
        <w:rPr>
          <w:rFonts w:ascii="Consolas" w:cs="Consolas" w:eastAsia="Consolas" w:hAnsi="Consolas"/>
          <w:color w:val="12213A"/>
          <w:sz w:val="19"/>
          <w:szCs w:val="19"/>
        </w:rPr>
        <w:t xml:space="preserve">GET    /admin/media                   POST /admin/media/upload</w:t>
      </w:r>
    </w:p>
    <w:p>
      <w:pPr>
        <w:pStyle w:val="Heading2"/>
        <w:spacing w:after="160" w:before="320"/>
      </w:pPr>
      <w:r>
        <w:t xml:space="preserve">4.9 Leaderboard Service</w:t>
      </w:r>
    </w:p>
    <w:p>
      <w:pPr>
        <w:spacing w:after="40"/>
      </w:pPr>
      <w:r>
        <w:rPr>
          <w:rFonts w:ascii="Consolas" w:cs="Consolas" w:eastAsia="Consolas" w:hAnsi="Consolas"/>
          <w:color w:val="12213A"/>
          <w:sz w:val="19"/>
          <w:szCs w:val="19"/>
        </w:rPr>
        <w:t xml:space="preserve">GET    /leaderboard?period=</w:t>
      </w:r>
    </w:p>
    <w:p>
      <w:r>
        <w:br w:type="page"/>
      </w:r>
    </w:p>
    <w:p>
      <w:pPr>
        <w:pStyle w:val="Heading1"/>
        <w:spacing w:after="240" w:before="480"/>
      </w:pPr>
      <w:r>
        <w:rPr>
          <w:color w:val="C99A2E"/>
        </w:rPr>
        <w:t xml:space="preserve">5  </w:t>
      </w:r>
      <w:r>
        <w:t xml:space="preserve">System &amp; Infrastructure Decisions</w:t>
      </w:r>
    </w:p>
    <w:p>
      <w:pPr>
        <w:spacing w:after="160" w:line="276"/>
      </w:pPr>
      <w:r>
        <w:t xml:space="preserve">Log Book Section 8 named an architectural direction (GraphQL/REST gateway over microservices, managed ML pipeline, licensed sports-data APIs). These are the concrete choices that direction resolves to for MVP v1 — optimised for a small team shipping in ~13 weeks, not for scale that doesn't exist yet.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450"/>
      </w:tblGrid>
      <w:tr>
        <w:trPr>
          <w:tblHeader/>
        </w:trPr>
        <w:tc>
          <w:tcPr>
            <w:tcW w:type="dxa" w:w="2100"/>
            <w:shd w:fill="12213A" w:val="clear"/>
            <w:tcMar>
              <w:top w:type="dxa" w:w="90"/>
              <w:left w:type="dxa" w:w="110"/>
              <w:bottom w:type="dxa" w:w="90"/>
              <w:right w:type="dxa" w:w="110"/>
            </w:tcMar>
            <w:vAlign w:val="center"/>
          </w:tcPr>
          <w:p>
            <w:r>
              <w:rPr>
                <w:b/>
                <w:bCs/>
                <w:color w:val="FFFFFF"/>
                <w:sz w:val="19"/>
                <w:szCs w:val="19"/>
              </w:rPr>
              <w:t xml:space="preserve">Decision</w:t>
            </w:r>
          </w:p>
        </w:tc>
        <w:tc>
          <w:tcPr>
            <w:tcW w:type="dxa" w:w="3800"/>
            <w:shd w:fill="12213A" w:val="clear"/>
            <w:tcMar>
              <w:top w:type="dxa" w:w="90"/>
              <w:left w:type="dxa" w:w="110"/>
              <w:bottom w:type="dxa" w:w="90"/>
              <w:right w:type="dxa" w:w="110"/>
            </w:tcMar>
            <w:vAlign w:val="center"/>
          </w:tcPr>
          <w:p>
            <w:r>
              <w:rPr>
                <w:b/>
                <w:bCs/>
                <w:color w:val="FFFFFF"/>
                <w:sz w:val="19"/>
                <w:szCs w:val="19"/>
              </w:rPr>
              <w:t xml:space="preserve">MVP v1 choice</w:t>
            </w:r>
          </w:p>
        </w:tc>
        <w:tc>
          <w:tcPr>
            <w:tcW w:type="dxa" w:w="3450"/>
            <w:shd w:fill="12213A" w:val="clear"/>
            <w:tcMar>
              <w:top w:type="dxa" w:w="90"/>
              <w:left w:type="dxa" w:w="110"/>
              <w:bottom w:type="dxa" w:w="90"/>
              <w:right w:type="dxa" w:w="110"/>
            </w:tcMar>
            <w:vAlign w:val="center"/>
          </w:tcPr>
          <w:p>
            <w:r>
              <w:rPr>
                <w:b/>
                <w:bCs/>
                <w:color w:val="FFFFFF"/>
                <w:sz w:val="19"/>
                <w:szCs w:val="19"/>
              </w:rPr>
              <w:t xml:space="preserve">Rationale</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Backend language/framework</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Node.js + TypeScript, NestJS</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Structured, modular enough to match the microservices direction without the operational overhead of running true separate services on day one — start as a modular monolith, split into services only where load demands it</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Primary database</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PostgreSQL</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Relational fits the entity model in Section 3 directly; strong ecosystem support</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Cache / session / notification queue</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Redis</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Cheap, fast, well-understood for session storage and lightweight pub/sub</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Web frontend</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React</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Matches the existing Figma file's component patterns (Log Book Section 23.4) directly</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Mobile frontend</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React Native</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Maximises code and component-logic sharing with the web team given the same design system</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Media storage &amp; delivery</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S3-compatible object storage + CDN</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Standard, cheap, scales without early re-architecture</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Sports data</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License a third-party football-data API (evaluate 2–3 vendors on coverage, latency and cost before committing)</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Building an in-house data-collection operation was already ruled out in Log Book Section 8.2 — do not revisit that</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Auth</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JWT + refresh tokens; evaluate a managed auth provider (e.g. Auth0/Firebase Auth) to save build time in Sprint 1</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Custom auth is a common place for early security mistakes; a managed provider buys safety and speed for an MVP timeline</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Hosting</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A managed container platform (e.g. AWS ECS/Fargate or a PaaS such as Render/Railway) over self-managed servers</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Minimises DevOps overhead for a two-developer team</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CI/CD</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GitHub Actions, with staging and production environments and preview deploys per pull request</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Standard, well-documented, integrates cleanly with the qa-reviewer agent in Section 11</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Error &amp; uptime monitoring</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Sentry for errors; a basic uptime checker (e.g. UptimeRobot or the hosting platform's built-in monitor)</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Non-negotiable before real users touch the product, including minors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Repository structure</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Monorepo (apps/web, apps/mobile, apps/admin, services/api, packages/shared)</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One small team, one design system — a monorepo avoids version-drift overhead a split-repo setup would add for no benefit yet</w:t>
            </w:r>
          </w:p>
        </w:tc>
      </w:tr>
    </w:tbl>
    <w:p>
      <w:pPr>
        <w:pStyle w:val="Heading2"/>
        <w:spacing w:after="160" w:before="320"/>
      </w:pPr>
      <w:r>
        <w:t xml:space="preserve">5.5 Low-bandwidth engineering discipline (applies from day one)</w:t>
      </w:r>
    </w:p>
    <w:p>
      <w:pPr>
        <w:spacing w:after="160" w:line="276"/>
      </w:pPr>
      <w:r>
        <w:t xml:space="preserve">Full offline mode is deferred (Section 2.2), but Log Book Section 6.2 identifies low-bandwidth performance as essential to the target markets, and it is far cheaper to build in than to retrofit. Apply these practices from Sprint 1 onward, not as a later feature:</w:t>
      </w:r>
    </w:p>
    <w:p>
      <w:pPr>
        <w:pStyle w:val="ListParagraph"/>
        <w:numPr>
          <w:ilvl w:val="0"/>
          <w:numId w:val="2"/>
        </w:numPr>
        <w:spacing w:after="90"/>
      </w:pPr>
      <w:r>
        <w:t xml:space="preserve">Paginate and lazy-load all feed, search and match-data endpoints — never return unbounded lists.</w:t>
      </w:r>
    </w:p>
    <w:p>
      <w:pPr>
        <w:pStyle w:val="ListParagraph"/>
        <w:numPr>
          <w:ilvl w:val="0"/>
          <w:numId w:val="2"/>
        </w:numPr>
        <w:spacing w:after="90"/>
      </w:pPr>
      <w:r>
        <w:t xml:space="preserve">Serve responsively-sized images and compressed video by default; never ship an unoptimised original to a mobile client.</w:t>
      </w:r>
    </w:p>
    <w:p>
      <w:pPr>
        <w:pStyle w:val="ListParagraph"/>
        <w:numPr>
          <w:ilvl w:val="0"/>
          <w:numId w:val="2"/>
        </w:numPr>
        <w:spacing w:after="90"/>
      </w:pPr>
      <w:r>
        <w:t xml:space="preserve">Set a performance budget and test it under throttled 3G-equivalent conditions before each sprint's review, not only before launch.</w:t>
      </w:r>
    </w:p>
    <w:p>
      <w:r>
        <w:br w:type="page"/>
      </w:r>
    </w:p>
    <w:p>
      <w:pPr>
        <w:pStyle w:val="Heading1"/>
        <w:spacing w:after="240" w:before="480"/>
      </w:pPr>
      <w:r>
        <w:rPr>
          <w:color w:val="C99A2E"/>
        </w:rPr>
        <w:t xml:space="preserve">6  </w:t>
      </w:r>
      <w:r>
        <w:t xml:space="preserve">Sprint-by-Sprint Backlog</w:t>
      </w:r>
    </w:p>
    <w:p>
      <w:pPr>
        <w:spacing w:after="160" w:line="276"/>
      </w:pPr>
      <w:r>
        <w:t xml:space="preserve">Seven build sprints plus one parallel design-foundation sprint, roughly 13–14 weeks total, sized for the current two-full-stack-developer team plus the Claude agents specified in Section 11. Each sprint lists its goal, concrete tasks and what “done” means for that sprint specifically — the full MVP definition of done is Section 7.</w:t>
      </w:r>
    </w:p>
    <w:p>
      <w:pPr>
        <w:spacing w:after="160" w:line="276"/>
      </w:pPr>
      <w:r>
        <w:rPr>
          <w:b/>
          <w:bCs/>
        </w:rPr>
        <w:t xml:space="preserve">A sequencing dependency that did not exist in the original plan: </w:t>
      </w:r>
      <w:r>
        <w:t xml:space="preserve">dark mode and several Sprint 1 screens (the guardian-consent flow specifically) do not exist in Figma yet. Sprint 0 and the new Sprint D below must run in parallel, and Sprint 1 cannot start its screen-building work until Sprint D's design output is ready — see Section 11 for exactly which agent produces what, in what order.</w:t>
      </w:r>
    </w:p>
    <w:p>
      <w:pPr>
        <w:pStyle w:val="Heading2"/>
        <w:spacing w:after="160" w:before="320"/>
      </w:pPr>
      <w:r>
        <w:t xml:space="preserve">Sprint D (parallel to Sprint 0, ~1–2 weeks) — Design Foundation</w:t>
      </w:r>
    </w:p>
    <w:p>
      <w:pPr>
        <w:spacing w:after="160" w:line="276"/>
      </w:pPr>
      <w:r>
        <w:rPr>
          <w:b/>
          <w:bCs/>
        </w:rPr>
        <w:t xml:space="preserve">Goal: </w:t>
      </w:r>
      <w:r>
        <w:t xml:space="preserve">a finished light/dark design system and a designed guardian-consent flow, so Sprint 1 has real screens to build against instead of screens that don't exist yet.</w:t>
      </w:r>
    </w:p>
    <w:p>
      <w:pPr>
        <w:pStyle w:val="ListParagraph"/>
        <w:numPr>
          <w:ilvl w:val="0"/>
          <w:numId w:val="2"/>
        </w:numPr>
        <w:spacing w:after="90"/>
      </w:pPr>
      <w:r>
        <w:t xml:space="preserve">Derive light/dark Figma Variables from Soccernity's existing brand colours (green #7BB929, navy #282E65) — no new palette. Run a contrast check on every text/background combination in both modes.</w:t>
      </w:r>
    </w:p>
    <w:p>
      <w:pPr>
        <w:pStyle w:val="ListParagraph"/>
        <w:numPr>
          <w:ilvl w:val="0"/>
          <w:numId w:val="2"/>
        </w:numPr>
        <w:spacing w:after="90"/>
      </w:pPr>
      <w:r>
        <w:t xml:space="preserve">Retouch the already-built Community, Sports Hub and Admin Console screens (Log Book Section 23.1) with the new tokens.</w:t>
      </w:r>
    </w:p>
    <w:p>
      <w:pPr>
        <w:pStyle w:val="ListParagraph"/>
        <w:numPr>
          <w:ilvl w:val="0"/>
          <w:numId w:val="2"/>
        </w:numPr>
        <w:spacing w:after="90"/>
      </w:pPr>
      <w:r>
        <w:t xml:space="preserve">Close the standing housekeeping tickets (Section 10 of this document) while frames are open: rename the 22 duplicate “Settings” frames, fix the “Settingd” typo, rename the nine generic component sets.</w:t>
      </w:r>
    </w:p>
    <w:p>
      <w:pPr>
        <w:pStyle w:val="ListParagraph"/>
        <w:numPr>
          <w:ilvl w:val="0"/>
          <w:numId w:val="2"/>
        </w:numPr>
        <w:spacing w:after="90"/>
      </w:pPr>
      <w:r>
        <w:t xml:space="preserve">Design the six guardian-consent-flow screens specified in Section 8.3 — this is the single highest-priority new screen in the entire backlog, since Sprint 1 cannot be built without it.</w:t>
      </w:r>
    </w:p>
    <w:p>
      <w:pPr>
        <w:spacing w:after="160" w:line="276"/>
      </w:pPr>
      <w:r>
        <w:rPr>
          <w:b/>
          <w:bCs/>
        </w:rPr>
        <w:t xml:space="preserve">Sprint done when: </w:t>
      </w:r>
      <w:r>
        <w:t xml:space="preserve">Figma has working Light/Dark modes on every existing screen, and the six guardian-consent screens exist and are marked ready for conversion to code.</w:t>
      </w:r>
    </w:p>
    <w:p>
      <w:pPr>
        <w:pStyle w:val="Heading2"/>
        <w:spacing w:after="160" w:before="320"/>
      </w:pPr>
      <w:r>
        <w:t xml:space="preserve">Sprint 0 (1 week, parallel to Sprint D) — Foundations</w:t>
      </w:r>
    </w:p>
    <w:p>
      <w:pPr>
        <w:spacing w:after="160" w:line="276"/>
      </w:pPr>
      <w:r>
        <w:rPr>
          <w:b/>
          <w:bCs/>
        </w:rPr>
        <w:t xml:space="preserve">Goal: </w:t>
      </w:r>
      <w:r>
        <w:t xml:space="preserve">a running skeleton every later sprint can build on.</w:t>
      </w:r>
    </w:p>
    <w:p>
      <w:pPr>
        <w:pStyle w:val="ListParagraph"/>
        <w:numPr>
          <w:ilvl w:val="0"/>
          <w:numId w:val="2"/>
        </w:numPr>
        <w:spacing w:after="90"/>
      </w:pPr>
      <w:r>
        <w:t xml:space="preserve">Set up the monorepo structure (Section 5), CI/CD pipeline, staging and production environments.</w:t>
      </w:r>
    </w:p>
    <w:p>
      <w:pPr>
        <w:pStyle w:val="ListParagraph"/>
        <w:numPr>
          <w:ilvl w:val="0"/>
          <w:numId w:val="2"/>
        </w:numPr>
        <w:spacing w:after="90"/>
      </w:pPr>
      <w:r>
        <w:t xml:space="preserve">Provision PostgreSQL and Redis; run the initial migration for the Section 3 entities.</w:t>
      </w:r>
    </w:p>
    <w:p>
      <w:pPr>
        <w:pStyle w:val="ListParagraph"/>
        <w:numPr>
          <w:ilvl w:val="0"/>
          <w:numId w:val="2"/>
        </w:numPr>
        <w:spacing w:after="90"/>
      </w:pPr>
      <w:r>
        <w:t xml:space="preserve">Sync the light/dark design tokens Sprint D produces into the shared frontend package as they become available — don't block on Sprint D finishing entirely, but don't hardcode colours ahead of the token set landing either.</w:t>
      </w:r>
    </w:p>
    <w:p>
      <w:pPr>
        <w:pStyle w:val="ListParagraph"/>
        <w:numPr>
          <w:ilvl w:val="0"/>
          <w:numId w:val="2"/>
        </w:numPr>
        <w:spacing w:after="90"/>
      </w:pPr>
      <w:r>
        <w:t xml:space="preserve">Stand up error monitoring and uptime checks.</w:t>
      </w:r>
    </w:p>
    <w:p>
      <w:pPr>
        <w:spacing w:after="160" w:line="276"/>
      </w:pPr>
      <w:r>
        <w:rPr>
          <w:b/>
          <w:bCs/>
        </w:rPr>
        <w:t xml:space="preserve">Sprint done when: </w:t>
      </w:r>
      <w:r>
        <w:t xml:space="preserve">a blank authenticated page deploys automatically to staging on every merge to main.</w:t>
      </w:r>
    </w:p>
    <w:p>
      <w:pPr>
        <w:pStyle w:val="Heading2"/>
        <w:spacing w:after="160" w:before="320"/>
      </w:pPr>
      <w:r>
        <w:t xml:space="preserve">Sprint 1 (2 weeks, starts once Sprint D's consent-flow screens are ready) — Auth, Users, Consent Foundation</w:t>
      </w:r>
    </w:p>
    <w:p>
      <w:pPr>
        <w:pStyle w:val="ListParagraph"/>
        <w:numPr>
          <w:ilvl w:val="0"/>
          <w:numId w:val="2"/>
        </w:numPr>
        <w:spacing w:after="90"/>
      </w:pPr>
      <w:r>
        <w:t xml:space="preserve">Build register/login/forgot/reset/verify-email against the Auth Service (Section 4.1).</w:t>
      </w:r>
    </w:p>
    <w:p>
      <w:pPr>
        <w:pStyle w:val="ListParagraph"/>
        <w:numPr>
          <w:ilvl w:val="0"/>
          <w:numId w:val="2"/>
        </w:numPr>
        <w:spacing w:after="90"/>
      </w:pPr>
      <w:r>
        <w:t xml:space="preserve">Build the age-declaration step at signup and the minor/guardian branch data model (Section 3, Guardian entity).</w:t>
      </w:r>
    </w:p>
    <w:p>
      <w:pPr>
        <w:pStyle w:val="ListParagraph"/>
        <w:numPr>
          <w:ilvl w:val="0"/>
          <w:numId w:val="2"/>
        </w:numPr>
        <w:spacing w:after="90"/>
      </w:pPr>
      <w:r>
        <w:t xml:space="preserve">Build the guardian-consent capture flow per the full specification in Section 8.3, from the six screens Sprint D designed — this is the single highest-priority item in this sprint.</w:t>
      </w:r>
    </w:p>
    <w:p>
      <w:pPr>
        <w:pStyle w:val="ListParagraph"/>
        <w:numPr>
          <w:ilvl w:val="0"/>
          <w:numId w:val="2"/>
        </w:numPr>
        <w:spacing w:after="90"/>
      </w:pPr>
      <w:r>
        <w:t xml:space="preserve">Build profile view/edit screens from the existing Figma Auth and Profile frames (Log Book Section 23.1).</w:t>
      </w:r>
    </w:p>
    <w:p>
      <w:pPr>
        <w:spacing w:after="160" w:line="276"/>
      </w:pPr>
      <w:r>
        <w:rPr>
          <w:b/>
          <w:bCs/>
        </w:rPr>
        <w:t xml:space="preserve">Sprint done when: </w:t>
      </w:r>
      <w:r>
        <w:t xml:space="preserve">a new user can register, verify email, declare age, and — if a minor — cannot access any public-facing profile feature until guardian consent is recorded.</w:t>
      </w:r>
    </w:p>
    <w:p>
      <w:pPr>
        <w:pStyle w:val="Heading2"/>
        <w:spacing w:after="160" w:before="320"/>
      </w:pPr>
      <w:r>
        <w:t xml:space="preserve">Sprint 2 (2 weeks) — Feed, Club Pages, Follow</w:t>
      </w:r>
    </w:p>
    <w:p>
      <w:pPr>
        <w:pStyle w:val="ListParagraph"/>
        <w:numPr>
          <w:ilvl w:val="0"/>
          <w:numId w:val="2"/>
        </w:numPr>
        <w:spacing w:after="90"/>
      </w:pPr>
      <w:r>
        <w:t xml:space="preserve">Build the Feed Service (Section 4.3): create/view/like/comment on posts, from the existing Figma feed and Create-Post frames.</w:t>
      </w:r>
    </w:p>
    <w:p>
      <w:pPr>
        <w:pStyle w:val="ListParagraph"/>
        <w:numPr>
          <w:ilvl w:val="0"/>
          <w:numId w:val="2"/>
        </w:numPr>
        <w:spacing w:after="90"/>
      </w:pPr>
      <w:r>
        <w:t xml:space="preserve">Build club fan pages with auto-join on signup (Section 4.4).</w:t>
      </w:r>
    </w:p>
    <w:p>
      <w:pPr>
        <w:pStyle w:val="ListParagraph"/>
        <w:numPr>
          <w:ilvl w:val="0"/>
          <w:numId w:val="2"/>
        </w:numPr>
        <w:spacing w:after="90"/>
      </w:pPr>
      <w:r>
        <w:t xml:space="preserve">Build Follow and Saved Posts.</w:t>
      </w:r>
    </w:p>
    <w:p>
      <w:pPr>
        <w:pStyle w:val="ListParagraph"/>
        <w:numPr>
          <w:ilvl w:val="0"/>
          <w:numId w:val="2"/>
        </w:numPr>
        <w:spacing w:after="90"/>
      </w:pPr>
      <w:r>
        <w:t xml:space="preserve">Wire the notification-trigger events (follow, comment, like) into the Notification entity, even though the full notification-centre UI ships in Sprint 3.</w:t>
      </w:r>
    </w:p>
    <w:p>
      <w:pPr>
        <w:spacing w:after="160" w:line="276"/>
      </w:pPr>
      <w:r>
        <w:rPr>
          <w:b/>
          <w:bCs/>
        </w:rPr>
        <w:t xml:space="preserve">Sprint done when: </w:t>
      </w:r>
      <w:r>
        <w:t xml:space="preserve">a user can post, follow another user or club, like/comment, and save a post, all reflected correctly on refresh.</w:t>
      </w:r>
    </w:p>
    <w:p>
      <w:pPr>
        <w:pStyle w:val="Heading2"/>
        <w:spacing w:after="160" w:before="320"/>
      </w:pPr>
      <w:r>
        <w:t xml:space="preserve">Sprint 3 (2 weeks) — Banter Rooms, Messaging, Notification Centre</w:t>
      </w:r>
    </w:p>
    <w:p>
      <w:pPr>
        <w:pStyle w:val="ListParagraph"/>
        <w:numPr>
          <w:ilvl w:val="0"/>
          <w:numId w:val="2"/>
        </w:numPr>
        <w:spacing w:after="90"/>
      </w:pPr>
      <w:r>
        <w:t xml:space="preserve">Build Banter Rooms — topic/club/league/country-scoped rooms with search and a “My Bants” view, from the existing, well-developed Figma Banter frames (Log Book Section 23.1).</w:t>
      </w:r>
    </w:p>
    <w:p>
      <w:pPr>
        <w:pStyle w:val="ListParagraph"/>
        <w:numPr>
          <w:ilvl w:val="0"/>
          <w:numId w:val="2"/>
        </w:numPr>
        <w:spacing w:after="90"/>
      </w:pPr>
      <w:r>
        <w:t xml:space="preserve">Build direct messaging (conversations, message threads) from the existing Drop Down Components chat frames.</w:t>
      </w:r>
    </w:p>
    <w:p>
      <w:pPr>
        <w:pStyle w:val="ListParagraph"/>
        <w:numPr>
          <w:ilvl w:val="0"/>
          <w:numId w:val="2"/>
        </w:numPr>
        <w:spacing w:after="90"/>
      </w:pPr>
      <w:r>
        <w:t xml:space="preserve">Build the full-page Notification Centre — the one screen Log Book Section 24.3 confirmed does not yet exist as a page, only as a dropdown.</w:t>
      </w:r>
    </w:p>
    <w:p>
      <w:pPr>
        <w:pStyle w:val="ListParagraph"/>
        <w:numPr>
          <w:ilvl w:val="0"/>
          <w:numId w:val="2"/>
        </w:numPr>
        <w:spacing w:after="90"/>
      </w:pPr>
      <w:r>
        <w:t xml:space="preserve">Resolve the Section 9, item 1 decision (Community Groups vs. Banter Rooms) before this sprint starts, since it determines whether a separate groups feature is also built here or deferred.</w:t>
      </w:r>
    </w:p>
    <w:p>
      <w:pPr>
        <w:spacing w:after="160" w:line="276"/>
      </w:pPr>
      <w:r>
        <w:rPr>
          <w:b/>
          <w:bCs/>
        </w:rPr>
        <w:t xml:space="preserve">Sprint done when: </w:t>
      </w:r>
      <w:r>
        <w:t xml:space="preserve">a user can create/join a Banter Room, send and receive a DM, and see a persistent notification history, not just a dropdown.</w:t>
      </w:r>
    </w:p>
    <w:p>
      <w:pPr>
        <w:pStyle w:val="Heading2"/>
        <w:spacing w:after="160" w:before="320"/>
      </w:pPr>
      <w:r>
        <w:t xml:space="preserve">Sprint 4 (2 weeks) — Sports Hub</w:t>
      </w:r>
    </w:p>
    <w:p>
      <w:pPr>
        <w:pStyle w:val="ListParagraph"/>
        <w:numPr>
          <w:ilvl w:val="0"/>
          <w:numId w:val="2"/>
        </w:numPr>
        <w:spacing w:after="90"/>
      </w:pPr>
      <w:r>
        <w:t xml:space="preserve">Integrate the licensed sports-data vendor selected per Section 5 and Section 9, item 6.</w:t>
      </w:r>
    </w:p>
    <w:p>
      <w:pPr>
        <w:pStyle w:val="ListParagraph"/>
        <w:numPr>
          <w:ilvl w:val="0"/>
          <w:numId w:val="2"/>
        </w:numPr>
        <w:spacing w:after="90"/>
      </w:pPr>
      <w:r>
        <w:t xml:space="preserve">Build live scores, fixtures, and the full match centre (details, stats, lineups, H2H, standings) from the existing, thorough Figma match-centre frames (Log Book Section 23.1).</w:t>
      </w:r>
    </w:p>
    <w:p>
      <w:pPr>
        <w:pStyle w:val="ListParagraph"/>
        <w:numPr>
          <w:ilvl w:val="0"/>
          <w:numId w:val="2"/>
        </w:numPr>
        <w:spacing w:after="90"/>
      </w:pPr>
      <w:r>
        <w:t xml:space="preserve">Build the news/blog feed and article detail pages from the existing Blog/Articles frames.</w:t>
      </w:r>
    </w:p>
    <w:p>
      <w:pPr>
        <w:pStyle w:val="ListParagraph"/>
        <w:numPr>
          <w:ilvl w:val="0"/>
          <w:numId w:val="2"/>
        </w:numPr>
        <w:spacing w:after="90"/>
      </w:pPr>
      <w:r>
        <w:t xml:space="preserve">Build video highlights playback.</w:t>
      </w:r>
    </w:p>
    <w:p>
      <w:pPr>
        <w:spacing w:after="160" w:line="276"/>
      </w:pPr>
      <w:r>
        <w:rPr>
          <w:b/>
          <w:bCs/>
        </w:rPr>
        <w:t xml:space="preserve">Sprint done when: </w:t>
      </w:r>
      <w:r>
        <w:t xml:space="preserve">live scores update correctly against a real fixture, and a full match-centre drill-down works end to end for at least one league.</w:t>
      </w:r>
    </w:p>
    <w:p>
      <w:pPr>
        <w:pStyle w:val="Heading2"/>
        <w:spacing w:after="160" w:before="320"/>
      </w:pPr>
      <w:r>
        <w:t xml:space="preserve">Sprint 5 (2 weeks) — Admin Console &amp; Grassroots Records</w:t>
      </w:r>
    </w:p>
    <w:p>
      <w:pPr>
        <w:pStyle w:val="ListParagraph"/>
        <w:numPr>
          <w:ilvl w:val="0"/>
          <w:numId w:val="2"/>
        </w:numPr>
        <w:spacing w:after="90"/>
      </w:pPr>
      <w:r>
        <w:t xml:space="preserve">Build the Admin dashboard, article/category management, media library and user management directly from the existing, fully-designed Admin Console frames (Log Book Section 6.6, 23.1) — this pillar is already 5/5 designed, so this sprint is largely implementation, not design.</w:t>
      </w:r>
    </w:p>
    <w:p>
      <w:pPr>
        <w:pStyle w:val="ListParagraph"/>
        <w:numPr>
          <w:ilvl w:val="0"/>
          <w:numId w:val="2"/>
        </w:numPr>
        <w:spacing w:after="90"/>
      </w:pPr>
      <w:r>
        <w:t xml:space="preserve">Build the moderation queue (new — Report entity, admin review screen, action + user-notification flow) per Section 8.4.</w:t>
      </w:r>
    </w:p>
    <w:p>
      <w:pPr>
        <w:pStyle w:val="ListParagraph"/>
        <w:numPr>
          <w:ilvl w:val="0"/>
          <w:numId w:val="2"/>
        </w:numPr>
        <w:spacing w:after="90"/>
      </w:pPr>
      <w:r>
        <w:t xml:space="preserve">Build the Grassroots Record-Keeping feature from scratch — team/league profile creation, fixture entry, result logging, public team page — since this has no prior Figma screen and is the concrete form of the Section 2.1 blue-ocean wedge.</w:t>
      </w:r>
    </w:p>
    <w:p>
      <w:pPr>
        <w:spacing w:after="160" w:line="276"/>
      </w:pPr>
      <w:r>
        <w:rPr>
          <w:b/>
          <w:bCs/>
        </w:rPr>
        <w:t xml:space="preserve">Sprint done when: </w:t>
      </w:r>
      <w:r>
        <w:t xml:space="preserve">an admin can publish an article and action a report end to end, and a coach/organiser can register an informal team and log a result visible on a public page.</w:t>
      </w:r>
    </w:p>
    <w:p>
      <w:pPr>
        <w:pStyle w:val="Heading2"/>
        <w:spacing w:after="160" w:before="320"/>
      </w:pPr>
      <w:r>
        <w:t xml:space="preserve">Sprint 6 (2 weeks) — Search, Leaderboard, Hardening, Launch Prep</w:t>
      </w:r>
    </w:p>
    <w:p>
      <w:pPr>
        <w:pStyle w:val="ListParagraph"/>
        <w:numPr>
          <w:ilvl w:val="0"/>
          <w:numId w:val="2"/>
        </w:numPr>
        <w:spacing w:after="90"/>
      </w:pPr>
      <w:r>
        <w:t xml:space="preserve">Build search &amp; trending discovery and the read-only leaderboard from existing Figma frames.</w:t>
      </w:r>
    </w:p>
    <w:p>
      <w:pPr>
        <w:pStyle w:val="ListParagraph"/>
        <w:numPr>
          <w:ilvl w:val="0"/>
          <w:numId w:val="2"/>
        </w:numPr>
        <w:spacing w:after="90"/>
      </w:pPr>
      <w:r>
        <w:t xml:space="preserve">Consolidate the 22 duplicate Figma “Settings” frames (Section 10) into one clean, tabbed settings screen.</w:t>
      </w:r>
    </w:p>
    <w:p>
      <w:pPr>
        <w:pStyle w:val="ListParagraph"/>
        <w:numPr>
          <w:ilvl w:val="0"/>
          <w:numId w:val="2"/>
        </w:numPr>
        <w:spacing w:after="90"/>
      </w:pPr>
      <w:r>
        <w:t xml:space="preserve">Full QA pass against Section 7's definition of done, including performance budget testing under throttled conditions (Section 5.5).</w:t>
      </w:r>
    </w:p>
    <w:p>
      <w:pPr>
        <w:pStyle w:val="ListParagraph"/>
        <w:numPr>
          <w:ilvl w:val="0"/>
          <w:numId w:val="2"/>
        </w:numPr>
        <w:spacing w:after="90"/>
      </w:pPr>
      <w:r>
        <w:t xml:space="preserve">Legal/safeguarding review of the guardian-consent flow (Section 8) and DPIA (Section 8.1) before any real minor's data is collected in production.</w:t>
      </w:r>
    </w:p>
    <w:p>
      <w:pPr>
        <w:pStyle w:val="ListParagraph"/>
        <w:numPr>
          <w:ilvl w:val="0"/>
          <w:numId w:val="2"/>
        </w:numPr>
        <w:spacing w:after="90"/>
      </w:pPr>
      <w:r>
        <w:t xml:space="preserve">Seed initial beachhead-city content: at least a handful of real or pilot clubs, teams and fixtures, so the app is not empty on day one.</w:t>
      </w:r>
    </w:p>
    <w:p>
      <w:pPr>
        <w:spacing w:after="160" w:line="276"/>
      </w:pPr>
      <w:r>
        <w:rPr>
          <w:b/>
          <w:bCs/>
        </w:rPr>
        <w:t xml:space="preserve">Sprint done when: </w:t>
      </w:r>
      <w:r>
        <w:t xml:space="preserve">every item in Section 7 is checked off.</w:t>
      </w:r>
    </w:p>
    <w:p>
      <w:r>
        <w:br w:type="page"/>
      </w:r>
    </w:p>
    <w:p>
      <w:pPr>
        <w:pStyle w:val="Heading1"/>
        <w:spacing w:after="240" w:before="480"/>
      </w:pPr>
      <w:r>
        <w:rPr>
          <w:color w:val="C99A2E"/>
        </w:rPr>
        <w:t xml:space="preserve">7  </w:t>
      </w:r>
      <w:r>
        <w:t xml:space="preserve">Definition of Done</w:t>
      </w:r>
    </w:p>
    <w:p>
      <w:pPr>
        <w:spacing w:after="160" w:line="276"/>
      </w:pPr>
      <w:r>
        <w:t xml:space="preserve">MVP v1 is complete when every item below is true, checked in this order. Do not treat this as a soft guideline — the safeguarding items are hard blockers on launch, not nice-to-haves.</w:t>
      </w:r>
    </w:p>
    <w:p>
      <w:pPr>
        <w:pStyle w:val="ListParagraph"/>
        <w:numPr>
          <w:ilvl w:val="0"/>
          <w:numId w:val="2"/>
        </w:numPr>
        <w:spacing w:after="90"/>
      </w:pPr>
      <w:r>
        <w:t xml:space="preserve">All Sprint 1–6 features are functional end-to-end on staging with no P0 (blocking) or P1 (major) bugs open.</w:t>
      </w:r>
    </w:p>
    <w:p>
      <w:pPr>
        <w:pStyle w:val="ListParagraph"/>
        <w:numPr>
          <w:ilvl w:val="0"/>
          <w:numId w:val="2"/>
        </w:numPr>
        <w:spacing w:after="90"/>
      </w:pPr>
      <w:r>
        <w:t xml:space="preserve">The age-gate correctly blocks signup below the applicable regional minimum age, and captures guardian consent for every minor account before that account's profile becomes visible to anyone outside the guardian relationship (Section 8.3).</w:t>
      </w:r>
    </w:p>
    <w:p>
      <w:pPr>
        <w:pStyle w:val="ListParagraph"/>
        <w:numPr>
          <w:ilvl w:val="0"/>
          <w:numId w:val="2"/>
        </w:numPr>
        <w:spacing w:after="90"/>
      </w:pPr>
      <w:r>
        <w:t xml:space="preserve">The moderation queue is operational: a report can be submitted, reviewed by an admin, actioned, and the reporting and reported users both notified.</w:t>
      </w:r>
    </w:p>
    <w:p>
      <w:pPr>
        <w:pStyle w:val="ListParagraph"/>
        <w:numPr>
          <w:ilvl w:val="0"/>
          <w:numId w:val="2"/>
        </w:numPr>
        <w:spacing w:after="90"/>
      </w:pPr>
      <w:r>
        <w:t xml:space="preserve">A DPIA has been drafted (Section 8.1) and reviewed by legal counsel — not merely drafted by an agent and left unreviewed.</w:t>
      </w:r>
    </w:p>
    <w:p>
      <w:pPr>
        <w:pStyle w:val="ListParagraph"/>
        <w:numPr>
          <w:ilvl w:val="0"/>
          <w:numId w:val="2"/>
        </w:numPr>
        <w:spacing w:after="90"/>
      </w:pPr>
      <w:r>
        <w:t xml:space="preserve">Privacy Policy and Terms of Service are published and linked from signup.</w:t>
      </w:r>
    </w:p>
    <w:p>
      <w:pPr>
        <w:pStyle w:val="ListParagraph"/>
        <w:numPr>
          <w:ilvl w:val="0"/>
          <w:numId w:val="2"/>
        </w:numPr>
        <w:spacing w:after="90"/>
      </w:pPr>
      <w:r>
        <w:t xml:space="preserve">Core pages meet the Section 5.5 performance budget under throttled, 3G-equivalent conditions.</w:t>
      </w:r>
    </w:p>
    <w:p>
      <w:pPr>
        <w:pStyle w:val="ListParagraph"/>
        <w:numPr>
          <w:ilvl w:val="0"/>
          <w:numId w:val="2"/>
        </w:numPr>
        <w:spacing w:after="90"/>
      </w:pPr>
      <w:r>
        <w:t xml:space="preserve">Error monitoring and uptime checks are live in production, not just staging.</w:t>
      </w:r>
    </w:p>
    <w:p>
      <w:pPr>
        <w:pStyle w:val="ListParagraph"/>
        <w:numPr>
          <w:ilvl w:val="0"/>
          <w:numId w:val="2"/>
        </w:numPr>
        <w:spacing w:after="90"/>
      </w:pPr>
      <w:r>
        <w:t xml:space="preserve">The beachhead city has real seeded content — clubs, teams, at least one live or recent fixture — so a first user's experience is not an empty app.</w:t>
      </w:r>
    </w:p>
    <w:p>
      <w:pPr>
        <w:pStyle w:val="ListParagraph"/>
        <w:numPr>
          <w:ilvl w:val="0"/>
          <w:numId w:val="2"/>
        </w:numPr>
        <w:spacing w:after="90"/>
      </w:pPr>
      <w:r>
        <w:t xml:space="preserve">The 22 duplicate “Settings” Figma frames have been consolidated into one screen in both design and code (Section 10).</w:t>
      </w:r>
    </w:p>
    <w:p>
      <w:pPr>
        <w:pStyle w:val="ListParagraph"/>
        <w:numPr>
          <w:ilvl w:val="0"/>
          <w:numId w:val="2"/>
        </w:numPr>
        <w:spacing w:after="90"/>
      </w:pPr>
      <w:r>
        <w:t xml:space="preserve">Every item in Section 9's Consolidated Decision Log is either resolved or explicitly accepted as an open risk by the founder before launch — none should still be silently unresolved.</w:t>
      </w:r>
    </w:p>
    <w:p>
      <w:r>
        <w:br w:type="page"/>
      </w:r>
    </w:p>
    <w:p>
      <w:pPr>
        <w:pStyle w:val="Heading1"/>
        <w:spacing w:after="240" w:before="480"/>
      </w:pPr>
      <w:r>
        <w:rPr>
          <w:color w:val="C99A2E"/>
        </w:rPr>
        <w:t xml:space="preserve">8  </w:t>
      </w:r>
      <w:r>
        <w:t xml:space="preserve">Safeguarding Deliverables</w:t>
      </w:r>
    </w:p>
    <w:p>
      <w:pPr>
        <w:spacing w:after="160" w:line="276"/>
      </w:pPr>
      <w:r>
        <w:t xml:space="preserve">Log Book Section 24.5 identified the age-verification / guardian-consent workflow as the single largest undocumented gap in the entire project, present nowhere as an actual screen or specification. This section closes that gap directly — not with a principle, but with a workflow an engineer can build this sprint.</w:t>
      </w:r>
    </w:p>
    <w:p>
      <w:pPr>
        <w:pStyle w:val="Heading2"/>
        <w:spacing w:after="160" w:before="320"/>
      </w:pPr>
      <w:r>
        <w:t xml:space="preserve">8.1 DPIA outline</w:t>
      </w:r>
    </w:p>
    <w:p>
      <w:pPr>
        <w:spacing w:after="160" w:line="276"/>
      </w:pPr>
      <w:r>
        <w:t xml:space="preserve">A Data Protection Impact Assessment is a practical UK GDPR requirement given this product processes minors' data, not optional paperwork. It must be reviewed and signed off by the safeguarding/legal counsel identified as a priority hire in Log Book Section 15, and should contain, at minimum:</w:t>
      </w:r>
    </w:p>
    <w:p>
      <w:pPr>
        <w:pStyle w:val="ListParagraph"/>
        <w:numPr>
          <w:ilvl w:val="0"/>
          <w:numId w:val="2"/>
        </w:numPr>
        <w:spacing w:after="90"/>
      </w:pPr>
      <w:r>
        <w:t xml:space="preserve">A description of the processing: what data is collected from minors, why, and how (registration, Combine footage in later phases, guardian consent records).</w:t>
      </w:r>
    </w:p>
    <w:p>
      <w:pPr>
        <w:pStyle w:val="ListParagraph"/>
        <w:numPr>
          <w:ilvl w:val="0"/>
          <w:numId w:val="2"/>
        </w:numPr>
        <w:spacing w:after="90"/>
      </w:pPr>
      <w:r>
        <w:t xml:space="preserve">A necessity and proportionality assessment — why each data point is required for the product to function.</w:t>
      </w:r>
    </w:p>
    <w:p>
      <w:pPr>
        <w:pStyle w:val="ListParagraph"/>
        <w:numPr>
          <w:ilvl w:val="0"/>
          <w:numId w:val="2"/>
        </w:numPr>
        <w:spacing w:after="90"/>
      </w:pPr>
      <w:r>
        <w:t xml:space="preserve">Identified risks to minors specifically (e.g. unwanted contact, data exposure, profiling).</w:t>
      </w:r>
    </w:p>
    <w:p>
      <w:pPr>
        <w:pStyle w:val="ListParagraph"/>
        <w:numPr>
          <w:ilvl w:val="0"/>
          <w:numId w:val="2"/>
        </w:numPr>
        <w:spacing w:after="90"/>
      </w:pPr>
      <w:r>
        <w:t xml:space="preserve">Mitigations for each identified risk, cross-referenced to the relevant product control (e.g. “unverified scout contact” mitigated by the guardian-visible messaging gate in Log Book Section 6.1).</w:t>
      </w:r>
    </w:p>
    <w:p>
      <w:pPr>
        <w:pStyle w:val="ListParagraph"/>
        <w:numPr>
          <w:ilvl w:val="0"/>
          <w:numId w:val="2"/>
        </w:numPr>
        <w:spacing w:after="90"/>
      </w:pPr>
      <w:r>
        <w:t xml:space="preserve">A named sign-off from legal counsel, dated, before any minor's data is processed in production.</w:t>
      </w:r>
    </w:p>
    <w:p>
      <w:pPr>
        <w:pStyle w:val="Heading2"/>
        <w:spacing w:after="160" w:before="320"/>
      </w:pPr>
      <w:r>
        <w:t xml:space="preserve">8.2 Data retention policy skeleton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000"/>
      </w:tblGrid>
      <w:tr>
        <w:trPr>
          <w:tblHeader/>
        </w:trPr>
        <w:tc>
          <w:tcPr>
            <w:tcW w:type="dxa" w:w="3050"/>
            <w:shd w:fill="12213A" w:val="clear"/>
            <w:tcMar>
              <w:top w:type="dxa" w:w="90"/>
              <w:left w:type="dxa" w:w="110"/>
              <w:bottom w:type="dxa" w:w="90"/>
              <w:right w:type="dxa" w:w="110"/>
            </w:tcMar>
            <w:vAlign w:val="center"/>
          </w:tcPr>
          <w:p>
            <w:r>
              <w:rPr>
                <w:b/>
                <w:bCs/>
                <w:color w:val="FFFFFF"/>
                <w:sz w:val="19"/>
                <w:szCs w:val="19"/>
              </w:rPr>
              <w:t xml:space="preserve">Data type</w:t>
            </w:r>
          </w:p>
        </w:tc>
        <w:tc>
          <w:tcPr>
            <w:tcW w:type="dxa" w:w="3300"/>
            <w:shd w:fill="12213A" w:val="clear"/>
            <w:tcMar>
              <w:top w:type="dxa" w:w="90"/>
              <w:left w:type="dxa" w:w="110"/>
              <w:bottom w:type="dxa" w:w="90"/>
              <w:right w:type="dxa" w:w="110"/>
            </w:tcMar>
            <w:vAlign w:val="center"/>
          </w:tcPr>
          <w:p>
            <w:r>
              <w:rPr>
                <w:b/>
                <w:bCs/>
                <w:color w:val="FFFFFF"/>
                <w:sz w:val="19"/>
                <w:szCs w:val="19"/>
              </w:rPr>
              <w:t xml:space="preserve">Retention period</w:t>
            </w:r>
          </w:p>
        </w:tc>
        <w:tc>
          <w:tcPr>
            <w:tcW w:type="dxa" w:w="3000"/>
            <w:shd w:fill="12213A" w:val="clear"/>
            <w:tcMar>
              <w:top w:type="dxa" w:w="90"/>
              <w:left w:type="dxa" w:w="110"/>
              <w:bottom w:type="dxa" w:w="90"/>
              <w:right w:type="dxa" w:w="110"/>
            </w:tcMar>
            <w:vAlign w:val="center"/>
          </w:tcPr>
          <w:p>
            <w:r>
              <w:rPr>
                <w:b/>
                <w:bCs/>
                <w:color w:val="FFFFFF"/>
                <w:sz w:val="19"/>
                <w:szCs w:val="19"/>
              </w:rPr>
              <w:t xml:space="preserve">Deletion trigger</w:t>
            </w:r>
          </w:p>
        </w:tc>
      </w:tr>
      <w:tr>
        <w:tc>
          <w:tcPr>
            <w:tcW w:type="dxa" w:w="3050"/>
            <w:shd w:fill="FFFFFF" w:val="clear"/>
            <w:tcMar>
              <w:top w:type="dxa" w:w="90"/>
              <w:left w:type="dxa" w:w="110"/>
              <w:bottom w:type="dxa" w:w="90"/>
              <w:right w:type="dxa" w:w="110"/>
            </w:tcMar>
            <w:vAlign w:val="center"/>
          </w:tcPr>
          <w:p>
            <w:r>
              <w:rPr>
                <w:b w:val="false"/>
                <w:bCs w:val="false"/>
                <w:color w:val="1A1A1A"/>
                <w:sz w:val="19"/>
                <w:szCs w:val="19"/>
              </w:rPr>
              <w:t xml:space="preserve">Minor account data (profile, guardian consent record)</w:t>
            </w:r>
          </w:p>
        </w:tc>
        <w:tc>
          <w:tcPr>
            <w:tcW w:type="dxa" w:w="3300"/>
            <w:shd w:fill="FFFFFF" w:val="clear"/>
            <w:tcMar>
              <w:top w:type="dxa" w:w="90"/>
              <w:left w:type="dxa" w:w="110"/>
              <w:bottom w:type="dxa" w:w="90"/>
              <w:right w:type="dxa" w:w="110"/>
            </w:tcMar>
            <w:vAlign w:val="center"/>
          </w:tcPr>
          <w:p>
            <w:r>
              <w:rPr>
                <w:b w:val="false"/>
                <w:bCs w:val="false"/>
                <w:color w:val="1A1A1A"/>
                <w:sz w:val="19"/>
                <w:szCs w:val="19"/>
              </w:rPr>
              <w:t xml:space="preserve">Duration of active use, plus a defined grace period after account closure</w:t>
            </w:r>
          </w:p>
        </w:tc>
        <w:tc>
          <w:tcPr>
            <w:tcW w:type="dxa" w:w="3000"/>
            <w:shd w:fill="FFFFFF" w:val="clear"/>
            <w:tcMar>
              <w:top w:type="dxa" w:w="90"/>
              <w:left w:type="dxa" w:w="110"/>
              <w:bottom w:type="dxa" w:w="90"/>
              <w:right w:type="dxa" w:w="110"/>
            </w:tcMar>
            <w:vAlign w:val="center"/>
          </w:tcPr>
          <w:p>
            <w:r>
              <w:rPr>
                <w:b w:val="false"/>
                <w:bCs w:val="false"/>
                <w:color w:val="1A1A1A"/>
                <w:sz w:val="19"/>
                <w:szCs w:val="19"/>
              </w:rPr>
              <w:t xml:space="preserve">Account deletion request, or automatic review at age of majority</w:t>
            </w:r>
          </w:p>
        </w:tc>
      </w:tr>
      <w:tr>
        <w:tc>
          <w:tcPr>
            <w:tcW w:type="dxa" w:w="3050"/>
            <w:shd w:fill="EFF3EE" w:val="clear"/>
            <w:tcMar>
              <w:top w:type="dxa" w:w="90"/>
              <w:left w:type="dxa" w:w="110"/>
              <w:bottom w:type="dxa" w:w="90"/>
              <w:right w:type="dxa" w:w="110"/>
            </w:tcMar>
            <w:vAlign w:val="center"/>
          </w:tcPr>
          <w:p>
            <w:r>
              <w:rPr>
                <w:b w:val="false"/>
                <w:bCs w:val="false"/>
                <w:color w:val="1A1A1A"/>
                <w:sz w:val="19"/>
                <w:szCs w:val="19"/>
              </w:rPr>
              <w:t xml:space="preserve">Guardian consent records</w:t>
            </w:r>
          </w:p>
        </w:tc>
        <w:tc>
          <w:tcPr>
            <w:tcW w:type="dxa" w:w="3300"/>
            <w:shd w:fill="EFF3EE" w:val="clear"/>
            <w:tcMar>
              <w:top w:type="dxa" w:w="90"/>
              <w:left w:type="dxa" w:w="110"/>
              <w:bottom w:type="dxa" w:w="90"/>
              <w:right w:type="dxa" w:w="110"/>
            </w:tcMar>
            <w:vAlign w:val="center"/>
          </w:tcPr>
          <w:p>
            <w:r>
              <w:rPr>
                <w:b w:val="false"/>
                <w:bCs w:val="false"/>
                <w:color w:val="1A1A1A"/>
                <w:sz w:val="19"/>
                <w:szCs w:val="19"/>
              </w:rPr>
              <w:t xml:space="preserve">Retained as long as the linked minor account is active, as proof of consent</w:t>
            </w:r>
          </w:p>
        </w:tc>
        <w:tc>
          <w:tcPr>
            <w:tcW w:type="dxa" w:w="3000"/>
            <w:shd w:fill="EFF3EE" w:val="clear"/>
            <w:tcMar>
              <w:top w:type="dxa" w:w="90"/>
              <w:left w:type="dxa" w:w="110"/>
              <w:bottom w:type="dxa" w:w="90"/>
              <w:right w:type="dxa" w:w="110"/>
            </w:tcMar>
            <w:vAlign w:val="center"/>
          </w:tcPr>
          <w:p>
            <w:r>
              <w:rPr>
                <w:b w:val="false"/>
                <w:bCs w:val="false"/>
                <w:color w:val="1A1A1A"/>
                <w:sz w:val="19"/>
                <w:szCs w:val="19"/>
              </w:rPr>
              <w:t xml:space="preserve">Deleted with the linked account, subject to any legal retention minimum</w:t>
            </w:r>
          </w:p>
        </w:tc>
      </w:tr>
      <w:tr>
        <w:tc>
          <w:tcPr>
            <w:tcW w:type="dxa" w:w="3050"/>
            <w:shd w:fill="FFFFFF" w:val="clear"/>
            <w:tcMar>
              <w:top w:type="dxa" w:w="90"/>
              <w:left w:type="dxa" w:w="110"/>
              <w:bottom w:type="dxa" w:w="90"/>
              <w:right w:type="dxa" w:w="110"/>
            </w:tcMar>
            <w:vAlign w:val="center"/>
          </w:tcPr>
          <w:p>
            <w:r>
              <w:rPr>
                <w:b w:val="false"/>
                <w:bCs w:val="false"/>
                <w:color w:val="1A1A1A"/>
                <w:sz w:val="19"/>
                <w:szCs w:val="19"/>
              </w:rPr>
              <w:t xml:space="preserve">Messages between users</w:t>
            </w:r>
          </w:p>
        </w:tc>
        <w:tc>
          <w:tcPr>
            <w:tcW w:type="dxa" w:w="3300"/>
            <w:shd w:fill="FFFFFF" w:val="clear"/>
            <w:tcMar>
              <w:top w:type="dxa" w:w="90"/>
              <w:left w:type="dxa" w:w="110"/>
              <w:bottom w:type="dxa" w:w="90"/>
              <w:right w:type="dxa" w:w="110"/>
            </w:tcMar>
            <w:vAlign w:val="center"/>
          </w:tcPr>
          <w:p>
            <w:r>
              <w:rPr>
                <w:b w:val="false"/>
                <w:bCs w:val="false"/>
                <w:color w:val="1A1A1A"/>
                <w:sz w:val="19"/>
                <w:szCs w:val="19"/>
              </w:rPr>
              <w:t xml:space="preserve">Rolling window (e.g. 12 months), reviewable by policy</w:t>
            </w:r>
          </w:p>
        </w:tc>
        <w:tc>
          <w:tcPr>
            <w:tcW w:type="dxa" w:w="3000"/>
            <w:shd w:fill="FFFFFF" w:val="clear"/>
            <w:tcMar>
              <w:top w:type="dxa" w:w="90"/>
              <w:left w:type="dxa" w:w="110"/>
              <w:bottom w:type="dxa" w:w="90"/>
              <w:right w:type="dxa" w:w="110"/>
            </w:tcMar>
            <w:vAlign w:val="center"/>
          </w:tcPr>
          <w:p>
            <w:r>
              <w:rPr>
                <w:b w:val="false"/>
                <w:bCs w:val="false"/>
                <w:color w:val="1A1A1A"/>
                <w:sz w:val="19"/>
                <w:szCs w:val="19"/>
              </w:rPr>
              <w:t xml:space="preserve">Automatic purge past the window, or user-initiated deletion</w:t>
            </w:r>
          </w:p>
        </w:tc>
      </w:tr>
      <w:tr>
        <w:tc>
          <w:tcPr>
            <w:tcW w:type="dxa" w:w="3050"/>
            <w:shd w:fill="EFF3EE" w:val="clear"/>
            <w:tcMar>
              <w:top w:type="dxa" w:w="90"/>
              <w:left w:type="dxa" w:w="110"/>
              <w:bottom w:type="dxa" w:w="90"/>
              <w:right w:type="dxa" w:w="110"/>
            </w:tcMar>
            <w:vAlign w:val="center"/>
          </w:tcPr>
          <w:p>
            <w:r>
              <w:rPr>
                <w:b w:val="false"/>
                <w:bCs w:val="false"/>
                <w:color w:val="1A1A1A"/>
                <w:sz w:val="19"/>
                <w:szCs w:val="19"/>
              </w:rPr>
              <w:t xml:space="preserve">Moderation reports and actions</w:t>
            </w:r>
          </w:p>
        </w:tc>
        <w:tc>
          <w:tcPr>
            <w:tcW w:type="dxa" w:w="3300"/>
            <w:shd w:fill="EFF3EE" w:val="clear"/>
            <w:tcMar>
              <w:top w:type="dxa" w:w="90"/>
              <w:left w:type="dxa" w:w="110"/>
              <w:bottom w:type="dxa" w:w="90"/>
              <w:right w:type="dxa" w:w="110"/>
            </w:tcMar>
            <w:vAlign w:val="center"/>
          </w:tcPr>
          <w:p>
            <w:r>
              <w:rPr>
                <w:b w:val="false"/>
                <w:bCs w:val="false"/>
                <w:color w:val="1A1A1A"/>
                <w:sz w:val="19"/>
                <w:szCs w:val="19"/>
              </w:rPr>
              <w:t xml:space="preserve">Retained longer than ordinary content for accountability and pattern detection</w:t>
            </w:r>
          </w:p>
        </w:tc>
        <w:tc>
          <w:tcPr>
            <w:tcW w:type="dxa" w:w="3000"/>
            <w:shd w:fill="EFF3EE" w:val="clear"/>
            <w:tcMar>
              <w:top w:type="dxa" w:w="90"/>
              <w:left w:type="dxa" w:w="110"/>
              <w:bottom w:type="dxa" w:w="90"/>
              <w:right w:type="dxa" w:w="110"/>
            </w:tcMar>
            <w:vAlign w:val="center"/>
          </w:tcPr>
          <w:p>
            <w:r>
              <w:rPr>
                <w:b w:val="false"/>
                <w:bCs w:val="false"/>
                <w:color w:val="1A1A1A"/>
                <w:sz w:val="19"/>
                <w:szCs w:val="19"/>
              </w:rPr>
              <w:t xml:space="preserve">Periodic review, not automatic deletion</w:t>
            </w:r>
          </w:p>
        </w:tc>
      </w:tr>
      <w:tr>
        <w:tc>
          <w:tcPr>
            <w:tcW w:type="dxa" w:w="3050"/>
            <w:shd w:fill="FFFFFF" w:val="clear"/>
            <w:tcMar>
              <w:top w:type="dxa" w:w="90"/>
              <w:left w:type="dxa" w:w="110"/>
              <w:bottom w:type="dxa" w:w="90"/>
              <w:right w:type="dxa" w:w="110"/>
            </w:tcMar>
            <w:vAlign w:val="center"/>
          </w:tcPr>
          <w:p>
            <w:r>
              <w:rPr>
                <w:b w:val="false"/>
                <w:bCs w:val="false"/>
                <w:color w:val="1A1A1A"/>
                <w:sz w:val="19"/>
                <w:szCs w:val="19"/>
              </w:rPr>
              <w:t xml:space="preserve">Media uploads (images/video)</w:t>
            </w:r>
          </w:p>
        </w:tc>
        <w:tc>
          <w:tcPr>
            <w:tcW w:type="dxa" w:w="3300"/>
            <w:shd w:fill="FFFFFF" w:val="clear"/>
            <w:tcMar>
              <w:top w:type="dxa" w:w="90"/>
              <w:left w:type="dxa" w:w="110"/>
              <w:bottom w:type="dxa" w:w="90"/>
              <w:right w:type="dxa" w:w="110"/>
            </w:tcMar>
            <w:vAlign w:val="center"/>
          </w:tcPr>
          <w:p>
            <w:r>
              <w:rPr>
                <w:b w:val="false"/>
                <w:bCs w:val="false"/>
                <w:color w:val="1A1A1A"/>
                <w:sz w:val="19"/>
                <w:szCs w:val="19"/>
              </w:rPr>
              <w:t xml:space="preserve">Tied to the parent Post/Article lifecycle</w:t>
            </w:r>
          </w:p>
        </w:tc>
        <w:tc>
          <w:tcPr>
            <w:tcW w:type="dxa" w:w="3000"/>
            <w:shd w:fill="FFFFFF" w:val="clear"/>
            <w:tcMar>
              <w:top w:type="dxa" w:w="90"/>
              <w:left w:type="dxa" w:w="110"/>
              <w:bottom w:type="dxa" w:w="90"/>
              <w:right w:type="dxa" w:w="110"/>
            </w:tcMar>
            <w:vAlign w:val="center"/>
          </w:tcPr>
          <w:p>
            <w:r>
              <w:rPr>
                <w:b w:val="false"/>
                <w:bCs w:val="false"/>
                <w:color w:val="1A1A1A"/>
                <w:sz w:val="19"/>
                <w:szCs w:val="19"/>
              </w:rPr>
              <w:t xml:space="preserve">Deleted when the parent content is deleted</w:t>
            </w:r>
          </w:p>
        </w:tc>
      </w:tr>
    </w:tbl>
    <w:p>
      <w:pPr>
        <w:spacing w:after="160" w:line="276"/>
      </w:pPr>
      <w:r>
        <w:t xml:space="preserve">These periods are starting proposals for legal counsel to confirm or revise, not final policy — do not publish a retention policy to users based on this table alone without that review.</w:t>
      </w:r>
    </w:p>
    <w:p>
      <w:pPr>
        <w:pStyle w:val="Heading2"/>
        <w:spacing w:after="160" w:before="320"/>
      </w:pPr>
      <w:r>
        <w:t xml:space="preserve">8.3 Age-verification / guardian-consent flow — the actual screens</w:t>
      </w:r>
    </w:p>
    <w:p>
      <w:pPr>
        <w:spacing w:after="160" w:line="276"/>
      </w:pPr>
      <w:r>
        <w:t xml:space="preserve">This is the concrete workflow neither the Log Book nor the Figma board currently specifies. Build these screens in Sprint 1 (Section 6).</w:t>
      </w:r>
    </w:p>
    <w:p>
      <w:pPr>
        <w:pStyle w:val="ListParagraph"/>
        <w:numPr>
          <w:ilvl w:val="0"/>
          <w:numId w:val="2"/>
        </w:numPr>
        <w:spacing w:after="90"/>
      </w:pPr>
      <w:r>
        <w:rPr>
          <w:b/>
          <w:bCs/>
        </w:rPr>
        <w:t xml:space="preserve">1. Age-gate screen. </w:t>
      </w:r>
      <w:r>
        <w:t xml:space="preserve">Date-of-birth entry at signup, before any account is created. Blocks signup outright below the applicable regional minimum age.</w:t>
      </w:r>
    </w:p>
    <w:p>
      <w:pPr>
        <w:pStyle w:val="ListParagraph"/>
        <w:numPr>
          <w:ilvl w:val="0"/>
          <w:numId w:val="2"/>
        </w:numPr>
        <w:spacing w:after="90"/>
      </w:pPr>
      <w:r>
        <w:rPr>
          <w:b/>
          <w:bCs/>
        </w:rPr>
        <w:t xml:space="preserve">2. Guardian-details capture. </w:t>
      </w:r>
      <w:r>
        <w:t xml:space="preserve">If the declared age is under 18, the signup flow branches here: capture guardian name, email and relationship to the minor before account creation completes.</w:t>
      </w:r>
    </w:p>
    <w:p>
      <w:pPr>
        <w:pStyle w:val="ListParagraph"/>
        <w:numPr>
          <w:ilvl w:val="0"/>
          <w:numId w:val="2"/>
        </w:numPr>
        <w:spacing w:after="90"/>
      </w:pPr>
      <w:r>
        <w:rPr>
          <w:b/>
          <w:bCs/>
        </w:rPr>
        <w:t xml:space="preserve">3. Guardian consent email. </w:t>
      </w:r>
      <w:r>
        <w:t xml:space="preserve">An email is sent to the guardian's address with a unique, single-use consent link — no app install required on the guardian's side.</w:t>
      </w:r>
    </w:p>
    <w:p>
      <w:pPr>
        <w:pStyle w:val="ListParagraph"/>
        <w:numPr>
          <w:ilvl w:val="0"/>
          <w:numId w:val="2"/>
        </w:numPr>
        <w:spacing w:after="90"/>
      </w:pPr>
      <w:r>
        <w:rPr>
          <w:b/>
          <w:bCs/>
        </w:rPr>
        <w:t xml:space="preserve">4. Guardian consent confirmation screen (web). </w:t>
      </w:r>
      <w:r>
        <w:t xml:space="preserve">A simple, plain-language web page explaining what the minor's account can do and what data is collected, with an explicit “I consent” action tied to the Guardian entity's consent_status and consent_timestamp fields (Section 3).</w:t>
      </w:r>
    </w:p>
    <w:p>
      <w:pPr>
        <w:pStyle w:val="ListParagraph"/>
        <w:numPr>
          <w:ilvl w:val="0"/>
          <w:numId w:val="2"/>
        </w:numPr>
        <w:spacing w:after="90"/>
      </w:pPr>
      <w:r>
        <w:rPr>
          <w:b/>
          <w:bCs/>
        </w:rPr>
        <w:t xml:space="preserve">5. Restricted-pending state. </w:t>
      </w:r>
      <w:r>
        <w:t xml:space="preserve">Until consent is recorded, the minor's account exists but is restricted: no public profile visibility, no DMs from unverified accounts, no participation in Banter Rooms beyond read-only.</w:t>
      </w:r>
    </w:p>
    <w:p>
      <w:pPr>
        <w:pStyle w:val="ListParagraph"/>
        <w:numPr>
          <w:ilvl w:val="0"/>
          <w:numId w:val="2"/>
        </w:numPr>
        <w:spacing w:after="90"/>
      </w:pPr>
      <w:r>
        <w:rPr>
          <w:b/>
          <w:bCs/>
        </w:rPr>
        <w:t xml:space="preserve">6. Activation. </w:t>
      </w:r>
      <w:r>
        <w:t xml:space="preserve">Once consent is recorded, the account unlocks to its normal minor-safe default permissions — still short of an adult account's permissions, per the trust &amp; safety layer in Log Book Section 6.1.</w:t>
      </w:r>
    </w:p>
    <w:p>
      <w:pPr>
        <w:pStyle w:val="Heading2"/>
        <w:spacing w:after="160" w:before="320"/>
      </w:pPr>
      <w:r>
        <w:t xml:space="preserve">8.4 Moderation &amp; appeals workflow</w:t>
      </w:r>
    </w:p>
    <w:p>
      <w:pPr>
        <w:pStyle w:val="ListParagraph"/>
        <w:numPr>
          <w:ilvl w:val="0"/>
          <w:numId w:val="2"/>
        </w:numPr>
        <w:spacing w:after="90"/>
      </w:pPr>
      <w:r>
        <w:t xml:space="preserve">A report is submitted against a post, comment or user, creating a Report record (Section 3).</w:t>
      </w:r>
    </w:p>
    <w:p>
      <w:pPr>
        <w:pStyle w:val="ListParagraph"/>
        <w:numPr>
          <w:ilvl w:val="0"/>
          <w:numId w:val="2"/>
        </w:numPr>
        <w:spacing w:after="90"/>
      </w:pPr>
      <w:r>
        <w:t xml:space="preserve">The report enters the Admin moderation queue (Section 4.8) for review by an AdminUser with the moderator role.</w:t>
      </w:r>
    </w:p>
    <w:p>
      <w:pPr>
        <w:pStyle w:val="ListParagraph"/>
        <w:numPr>
          <w:ilvl w:val="0"/>
          <w:numId w:val="2"/>
        </w:numPr>
        <w:spacing w:after="90"/>
      </w:pPr>
      <w:r>
        <w:t xml:space="preserve">The admin actions the report (e.g. content removal, warning, suspension) and the system notifies both the reporter and the reported user of the outcome.</w:t>
      </w:r>
    </w:p>
    <w:p>
      <w:pPr>
        <w:pStyle w:val="ListParagraph"/>
        <w:numPr>
          <w:ilvl w:val="0"/>
          <w:numId w:val="2"/>
        </w:numPr>
        <w:spacing w:after="90"/>
      </w:pPr>
      <w:r>
        <w:t xml:space="preserve">The reported user has a defined path to appeal the decision, routed to a second reviewer — not the same admin who made the original call.</w:t>
      </w:r>
    </w:p>
    <w:p>
      <w:r>
        <w:br w:type="page"/>
      </w:r>
    </w:p>
    <w:p>
      <w:pPr>
        <w:pStyle w:val="Heading1"/>
        <w:spacing w:after="240" w:before="480"/>
      </w:pPr>
      <w:r>
        <w:rPr>
          <w:color w:val="C99A2E"/>
        </w:rPr>
        <w:t xml:space="preserve">9  </w:t>
      </w:r>
      <w:r>
        <w:t xml:space="preserve">Consolidated Decision Log</w:t>
      </w:r>
    </w:p>
    <w:p>
      <w:pPr>
        <w:spacing w:after="160" w:line="276"/>
      </w:pPr>
      <w:r>
        <w:t xml:space="preserve">Every open founder decision previously scattered across Log Book Sections 20.5, 21 and 24.4, brought into one place. Update the status column as decisions close — do not let this list go stale.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1850"/>
        <w:gridCol w:w="2300"/>
      </w:tblGrid>
      <w:tr>
        <w:trPr>
          <w:tblHeader/>
        </w:trPr>
        <w:tc>
          <w:tcPr>
            <w:tcW w:type="dxa" w:w="500"/>
            <w:shd w:fill="12213A" w:val="clear"/>
            <w:tcMar>
              <w:top w:type="dxa" w:w="90"/>
              <w:left w:type="dxa" w:w="110"/>
              <w:bottom w:type="dxa" w:w="90"/>
              <w:right w:type="dxa" w:w="110"/>
            </w:tcMar>
            <w:vAlign w:val="center"/>
          </w:tcPr>
          <w:p>
            <w:r>
              <w:rPr>
                <w:b/>
                <w:bCs/>
                <w:color w:val="FFFFFF"/>
                <w:sz w:val="19"/>
                <w:szCs w:val="19"/>
              </w:rPr>
              <w:t xml:space="preserve">#</w:t>
            </w:r>
          </w:p>
        </w:tc>
        <w:tc>
          <w:tcPr>
            <w:tcW w:type="dxa" w:w="4700"/>
            <w:shd w:fill="12213A" w:val="clear"/>
            <w:tcMar>
              <w:top w:type="dxa" w:w="90"/>
              <w:left w:type="dxa" w:w="110"/>
              <w:bottom w:type="dxa" w:w="90"/>
              <w:right w:type="dxa" w:w="110"/>
            </w:tcMar>
            <w:vAlign w:val="center"/>
          </w:tcPr>
          <w:p>
            <w:r>
              <w:rPr>
                <w:b/>
                <w:bCs/>
                <w:color w:val="FFFFFF"/>
                <w:sz w:val="19"/>
                <w:szCs w:val="19"/>
              </w:rPr>
              <w:t xml:space="preserve">Decision needed</w:t>
            </w:r>
          </w:p>
        </w:tc>
        <w:tc>
          <w:tcPr>
            <w:tcW w:type="dxa" w:w="1850"/>
            <w:shd w:fill="12213A" w:val="clear"/>
            <w:tcMar>
              <w:top w:type="dxa" w:w="90"/>
              <w:left w:type="dxa" w:w="110"/>
              <w:bottom w:type="dxa" w:w="90"/>
              <w:right w:type="dxa" w:w="110"/>
            </w:tcMar>
            <w:vAlign w:val="center"/>
          </w:tcPr>
          <w:p>
            <w:r>
              <w:rPr>
                <w:b/>
                <w:bCs/>
                <w:color w:val="FFFFFF"/>
                <w:sz w:val="19"/>
                <w:szCs w:val="19"/>
              </w:rPr>
              <w:t xml:space="preserve">Raised in</w:t>
            </w:r>
          </w:p>
        </w:tc>
        <w:tc>
          <w:tcPr>
            <w:tcW w:type="dxa" w:w="2300"/>
            <w:shd w:fill="12213A" w:val="clear"/>
            <w:tcMar>
              <w:top w:type="dxa" w:w="90"/>
              <w:left w:type="dxa" w:w="110"/>
              <w:bottom w:type="dxa" w:w="90"/>
              <w:right w:type="dxa" w:w="110"/>
            </w:tcMar>
            <w:vAlign w:val="center"/>
          </w:tcPr>
          <w:p>
            <w:r>
              <w:rPr>
                <w:b/>
                <w:bCs/>
                <w:color w:val="FFFFFF"/>
                <w:sz w:val="19"/>
                <w:szCs w:val="19"/>
              </w:rPr>
              <w:t xml:space="preserve">Status</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1</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Are “Community groups” and “Banter Rooms” one feature or two? Must be resolved before Sprint 3.</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Log Book 24.4</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Open</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2</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Exact premium pricing (£2/£5/£10 in original notes) — validate against MVP engagement data once live, not before.</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Log Book 21</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Open (deferred to post-MVP)</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3</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Whether the Academy Marketplace launches alongside or after the Scout CRM, given both compete for the same engineering capacity.</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Log Book 21</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Open (Phase 2 decision, not MVP-blocking)</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4</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Jurisdictional scope of the safeguarding framework beyond UK GDPR as the floor — needs review by counsel familiar with child-protection law in each launch market.</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Log Book 21</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Open — blocks Section 8.1 DPIA sign-off</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5</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Whether to pursue direct partnership conversations with Mchezaji, Afriskaut or GRASOF rather than treating them purely as competitors.</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Log Book 19, 21</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Open (not MVP-blocking)</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6</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Sports-data API vendor selection — evaluate 2–3 providers on coverage, latency and cost.</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This document, Section 5</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Open — blocks Sprint 4</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7</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Managed auth provider vs. custom JWT implementation.</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This document, Section 5</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Open — blocks Sprint 1</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8</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Regional minimum age for the age-gate in Section 8.3, if it differs from 18 in the launch jurisdiction.</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This document, Section 8</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Open — blocks Sprint 1</w:t>
            </w:r>
          </w:p>
        </w:tc>
      </w:tr>
    </w:tbl>
    <w:p>
      <w:r>
        <w:br w:type="page"/>
      </w:r>
    </w:p>
    <w:p>
      <w:pPr>
        <w:pStyle w:val="Heading1"/>
        <w:spacing w:after="240" w:before="480"/>
      </w:pPr>
      <w:r>
        <w:rPr>
          <w:color w:val="C99A2E"/>
        </w:rPr>
        <w:t xml:space="preserve">10  </w:t>
      </w:r>
      <w:r>
        <w:t xml:space="preserve">Design System Cleanup Tickets</w:t>
      </w:r>
    </w:p>
    <w:p>
      <w:pPr>
        <w:spacing w:after="160" w:line="276"/>
      </w:pPr>
      <w:r>
        <w:t xml:space="preserve">Turned from Log Book Section 23.5's housekeeping notes into actionable tickets. Assign to the product designer or the figma-to-code agent (Section 11) ahead of the sprint that depends on each item.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650"/>
        <w:gridCol w:w="2700"/>
      </w:tblGrid>
      <w:tr>
        <w:trPr>
          <w:tblHeader/>
        </w:trPr>
        <w:tc>
          <w:tcPr>
            <w:tcW w:type="dxa" w:w="6650"/>
            <w:shd w:fill="12213A" w:val="clear"/>
            <w:tcMar>
              <w:top w:type="dxa" w:w="90"/>
              <w:left w:type="dxa" w:w="110"/>
              <w:bottom w:type="dxa" w:w="90"/>
              <w:right w:type="dxa" w:w="110"/>
            </w:tcMar>
            <w:vAlign w:val="center"/>
          </w:tcPr>
          <w:p>
            <w:r>
              <w:rPr>
                <w:b/>
                <w:bCs/>
                <w:color w:val="FFFFFF"/>
                <w:sz w:val="19"/>
                <w:szCs w:val="19"/>
              </w:rPr>
              <w:t xml:space="preserve">Ticket</w:t>
            </w:r>
          </w:p>
        </w:tc>
        <w:tc>
          <w:tcPr>
            <w:tcW w:type="dxa" w:w="2700"/>
            <w:shd w:fill="12213A" w:val="clear"/>
            <w:tcMar>
              <w:top w:type="dxa" w:w="90"/>
              <w:left w:type="dxa" w:w="110"/>
              <w:bottom w:type="dxa" w:w="90"/>
              <w:right w:type="dxa" w:w="110"/>
            </w:tcMar>
            <w:vAlign w:val="center"/>
          </w:tcPr>
          <w:p>
            <w:r>
              <w:rPr>
                <w:b/>
                <w:bCs/>
                <w:color w:val="FFFFFF"/>
                <w:sz w:val="19"/>
                <w:szCs w:val="19"/>
              </w:rPr>
              <w:t xml:space="preserve">Blocks</w:t>
            </w:r>
          </w:p>
        </w:tc>
      </w:tr>
      <w:tr>
        <w:tc>
          <w:tcPr>
            <w:tcW w:type="dxa" w:w="6650"/>
            <w:shd w:fill="FFFFFF" w:val="clear"/>
            <w:tcMar>
              <w:top w:type="dxa" w:w="90"/>
              <w:left w:type="dxa" w:w="110"/>
              <w:bottom w:type="dxa" w:w="90"/>
              <w:right w:type="dxa" w:w="110"/>
            </w:tcMar>
            <w:vAlign w:val="center"/>
          </w:tcPr>
          <w:p>
            <w:r>
              <w:rPr>
                <w:b w:val="false"/>
                <w:bCs w:val="false"/>
                <w:color w:val="1A1A1A"/>
                <w:sz w:val="19"/>
                <w:szCs w:val="19"/>
              </w:rPr>
              <w:t xml:space="preserve">Rename the 22 duplicate “Settings” Figma frames with distinguishing labels (Account, Privacy, Notifications, etc.)</w:t>
            </w:r>
          </w:p>
        </w:tc>
        <w:tc>
          <w:tcPr>
            <w:tcW w:type="dxa" w:w="2700"/>
            <w:shd w:fill="FFFFFF" w:val="clear"/>
            <w:tcMar>
              <w:top w:type="dxa" w:w="90"/>
              <w:left w:type="dxa" w:w="110"/>
              <w:bottom w:type="dxa" w:w="90"/>
              <w:right w:type="dxa" w:w="110"/>
            </w:tcMar>
            <w:vAlign w:val="center"/>
          </w:tcPr>
          <w:p>
            <w:r>
              <w:rPr>
                <w:b w:val="false"/>
                <w:bCs w:val="false"/>
                <w:color w:val="1A1A1A"/>
                <w:sz w:val="19"/>
                <w:szCs w:val="19"/>
              </w:rPr>
              <w:t xml:space="preserve">Sprint 6 settings consolidation</w:t>
            </w:r>
          </w:p>
        </w:tc>
      </w:tr>
      <w:tr>
        <w:tc>
          <w:tcPr>
            <w:tcW w:type="dxa" w:w="6650"/>
            <w:shd w:fill="EFF3EE" w:val="clear"/>
            <w:tcMar>
              <w:top w:type="dxa" w:w="90"/>
              <w:left w:type="dxa" w:w="110"/>
              <w:bottom w:type="dxa" w:w="90"/>
              <w:right w:type="dxa" w:w="110"/>
            </w:tcMar>
            <w:vAlign w:val="center"/>
          </w:tcPr>
          <w:p>
            <w:r>
              <w:rPr>
                <w:b w:val="false"/>
                <w:bCs w:val="false"/>
                <w:color w:val="1A1A1A"/>
                <w:sz w:val="19"/>
                <w:szCs w:val="19"/>
              </w:rPr>
              <w:t xml:space="preserve">Rename the nine generically-named component sets (“Component 1,” “Component 10,” etc.) by function</w:t>
            </w:r>
          </w:p>
        </w:tc>
        <w:tc>
          <w:tcPr>
            <w:tcW w:type="dxa" w:w="2700"/>
            <w:shd w:fill="EFF3EE" w:val="clear"/>
            <w:tcMar>
              <w:top w:type="dxa" w:w="90"/>
              <w:left w:type="dxa" w:w="110"/>
              <w:bottom w:type="dxa" w:w="90"/>
              <w:right w:type="dxa" w:w="110"/>
            </w:tcMar>
            <w:vAlign w:val="center"/>
          </w:tcPr>
          <w:p>
            <w:r>
              <w:rPr>
                <w:b w:val="false"/>
                <w:bCs w:val="false"/>
                <w:color w:val="1A1A1A"/>
                <w:sz w:val="19"/>
                <w:szCs w:val="19"/>
              </w:rPr>
              <w:t xml:space="preserve">All sprints using figma-to-code</w:t>
            </w:r>
          </w:p>
        </w:tc>
      </w:tr>
      <w:tr>
        <w:tc>
          <w:tcPr>
            <w:tcW w:type="dxa" w:w="6650"/>
            <w:shd w:fill="FFFFFF" w:val="clear"/>
            <w:tcMar>
              <w:top w:type="dxa" w:w="90"/>
              <w:left w:type="dxa" w:w="110"/>
              <w:bottom w:type="dxa" w:w="90"/>
              <w:right w:type="dxa" w:w="110"/>
            </w:tcMar>
            <w:vAlign w:val="center"/>
          </w:tcPr>
          <w:p>
            <w:r>
              <w:rPr>
                <w:b w:val="false"/>
                <w:bCs w:val="false"/>
                <w:color w:val="1A1A1A"/>
                <w:sz w:val="19"/>
                <w:szCs w:val="19"/>
              </w:rPr>
              <w:t xml:space="preserve">Fix the misspelled “Settingd” frame (node 1620:13390)</w:t>
            </w:r>
          </w:p>
        </w:tc>
        <w:tc>
          <w:tcPr>
            <w:tcW w:type="dxa" w:w="2700"/>
            <w:shd w:fill="FFFFFF" w:val="clear"/>
            <w:tcMar>
              <w:top w:type="dxa" w:w="90"/>
              <w:left w:type="dxa" w:w="110"/>
              <w:bottom w:type="dxa" w:w="90"/>
              <w:right w:type="dxa" w:w="110"/>
            </w:tcMar>
            <w:vAlign w:val="center"/>
          </w:tcPr>
          <w:p>
            <w:r>
              <w:rPr>
                <w:b w:val="false"/>
                <w:bCs w:val="false"/>
                <w:color w:val="1A1A1A"/>
                <w:sz w:val="19"/>
                <w:szCs w:val="19"/>
              </w:rPr>
              <w:t xml:space="preserve">Sprint 6</w:t>
            </w:r>
          </w:p>
        </w:tc>
      </w:tr>
      <w:tr>
        <w:tc>
          <w:tcPr>
            <w:tcW w:type="dxa" w:w="6650"/>
            <w:shd w:fill="EFF3EE" w:val="clear"/>
            <w:tcMar>
              <w:top w:type="dxa" w:w="90"/>
              <w:left w:type="dxa" w:w="110"/>
              <w:bottom w:type="dxa" w:w="90"/>
              <w:right w:type="dxa" w:w="110"/>
            </w:tcMar>
            <w:vAlign w:val="center"/>
          </w:tcPr>
          <w:p>
            <w:r>
              <w:rPr>
                <w:b w:val="false"/>
                <w:bCs w:val="false"/>
                <w:color w:val="1A1A1A"/>
                <w:sz w:val="19"/>
                <w:szCs w:val="19"/>
              </w:rPr>
              <w:t xml:space="preserve">Update or remove the on-board sticky note about missing screens, now that Settings, Search and Trending have been added</w:t>
            </w:r>
          </w:p>
        </w:tc>
        <w:tc>
          <w:tcPr>
            <w:tcW w:type="dxa" w:w="2700"/>
            <w:shd w:fill="EFF3EE" w:val="clear"/>
            <w:tcMar>
              <w:top w:type="dxa" w:w="90"/>
              <w:left w:type="dxa" w:w="110"/>
              <w:bottom w:type="dxa" w:w="90"/>
              <w:right w:type="dxa" w:w="110"/>
            </w:tcMar>
            <w:vAlign w:val="center"/>
          </w:tcPr>
          <w:p>
            <w:r>
              <w:rPr>
                <w:b w:val="false"/>
                <w:bCs w:val="false"/>
                <w:color w:val="1A1A1A"/>
                <w:sz w:val="19"/>
                <w:szCs w:val="19"/>
              </w:rPr>
              <w:t xml:space="preserve">None — housekeeping only</w:t>
            </w:r>
          </w:p>
        </w:tc>
      </w:tr>
      <w:tr>
        <w:tc>
          <w:tcPr>
            <w:tcW w:type="dxa" w:w="6650"/>
            <w:shd w:fill="FFFFFF" w:val="clear"/>
            <w:tcMar>
              <w:top w:type="dxa" w:w="90"/>
              <w:left w:type="dxa" w:w="110"/>
              <w:bottom w:type="dxa" w:w="90"/>
              <w:right w:type="dxa" w:w="110"/>
            </w:tcMar>
            <w:vAlign w:val="center"/>
          </w:tcPr>
          <w:p>
            <w:r>
              <w:rPr>
                <w:b w:val="false"/>
                <w:bCs w:val="false"/>
                <w:color w:val="1A1A1A"/>
                <w:sz w:val="19"/>
                <w:szCs w:val="19"/>
              </w:rPr>
              <w:t xml:space="preserve">Standardise on one icon library instead of the current mix (simple-line-icons, eva-icons, ci, bx, akar-icons)</w:t>
            </w:r>
          </w:p>
        </w:tc>
        <w:tc>
          <w:tcPr>
            <w:tcW w:type="dxa" w:w="2700"/>
            <w:shd w:fill="FFFFFF" w:val="clear"/>
            <w:tcMar>
              <w:top w:type="dxa" w:w="90"/>
              <w:left w:type="dxa" w:w="110"/>
              <w:bottom w:type="dxa" w:w="90"/>
              <w:right w:type="dxa" w:w="110"/>
            </w:tcMar>
            <w:vAlign w:val="center"/>
          </w:tcPr>
          <w:p>
            <w:r>
              <w:rPr>
                <w:b w:val="false"/>
                <w:bCs w:val="false"/>
                <w:color w:val="1A1A1A"/>
                <w:sz w:val="19"/>
                <w:szCs w:val="19"/>
              </w:rPr>
              <w:t xml:space="preserve">None — quality/consistency only, do before Phase 2 design work</w:t>
            </w:r>
          </w:p>
        </w:tc>
      </w:tr>
    </w:tbl>
    <w:p>
      <w:r>
        <w:br w:type="page"/>
      </w:r>
    </w:p>
    <w:p>
      <w:pPr>
        <w:pStyle w:val="Heading1"/>
        <w:spacing w:after="240" w:before="480"/>
      </w:pPr>
      <w:r>
        <w:rPr>
          <w:color w:val="C99A2E"/>
        </w:rPr>
        <w:t xml:space="preserve">11  </w:t>
      </w:r>
      <w:r>
        <w:t xml:space="preserve">Claude Agent Assignment Map</w:t>
      </w:r>
    </w:p>
    <w:p>
      <w:pPr>
        <w:spacing w:after="160" w:line="276"/>
      </w:pPr>
      <w:r>
        <w:t xml:space="preserve">Maps each sprint in Section 6 to the Claude Code subagents specified in Log Book Section 15.2. All eight now exist as working `.claude/agents/` files installed in the project repository — this is no longer a specify-then-build step, it's a live assignment map.</w:t>
      </w:r>
    </w:p>
    <w:p>
      <w:pPr>
        <w:spacing w:after="160" w:line="276"/>
      </w:pPr>
      <w:r>
        <w:rPr>
          <w:b/>
          <w:bCs/>
        </w:rPr>
        <w:t xml:space="preserve">Three of these are sequence-dependent, not parallel-safe: </w:t>
      </w:r>
      <w:r>
        <w:t xml:space="preserve">figma-design-system must finish before figma-screen-builder starts, and figma-to-code only converts what those two have already finished. Sprint D exists specifically to run that sequence ahead of Sprint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50"/>
      </w:tblGrid>
      <w:tr>
        <w:trPr>
          <w:tblHeader/>
        </w:trPr>
        <w:tc>
          <w:tcPr>
            <w:tcW w:type="dxa" w:w="2100"/>
            <w:shd w:fill="12213A" w:val="clear"/>
            <w:tcMar>
              <w:top w:type="dxa" w:w="90"/>
              <w:left w:type="dxa" w:w="110"/>
              <w:bottom w:type="dxa" w:w="90"/>
              <w:right w:type="dxa" w:w="110"/>
            </w:tcMar>
            <w:vAlign w:val="center"/>
          </w:tcPr>
          <w:p>
            <w:r>
              <w:rPr>
                <w:b/>
                <w:bCs/>
                <w:color w:val="FFFFFF"/>
                <w:sz w:val="19"/>
                <w:szCs w:val="19"/>
              </w:rPr>
              <w:t xml:space="preserve">Sprint</w:t>
            </w:r>
          </w:p>
        </w:tc>
        <w:tc>
          <w:tcPr>
            <w:tcW w:type="dxa" w:w="2400"/>
            <w:shd w:fill="12213A" w:val="clear"/>
            <w:tcMar>
              <w:top w:type="dxa" w:w="90"/>
              <w:left w:type="dxa" w:w="110"/>
              <w:bottom w:type="dxa" w:w="90"/>
              <w:right w:type="dxa" w:w="110"/>
            </w:tcMar>
            <w:vAlign w:val="center"/>
          </w:tcPr>
          <w:p>
            <w:r>
              <w:rPr>
                <w:b/>
                <w:bCs/>
                <w:color w:val="FFFFFF"/>
                <w:sz w:val="19"/>
                <w:szCs w:val="19"/>
              </w:rPr>
              <w:t xml:space="preserve">Primary agent(s)</w:t>
            </w:r>
          </w:p>
        </w:tc>
        <w:tc>
          <w:tcPr>
            <w:tcW w:type="dxa" w:w="4850"/>
            <w:shd w:fill="12213A" w:val="clear"/>
            <w:tcMar>
              <w:top w:type="dxa" w:w="90"/>
              <w:left w:type="dxa" w:w="110"/>
              <w:bottom w:type="dxa" w:w="90"/>
              <w:right w:type="dxa" w:w="110"/>
            </w:tcMar>
            <w:vAlign w:val="center"/>
          </w:tcPr>
          <w:p>
            <w:r>
              <w:rPr>
                <w:b/>
                <w:bCs/>
                <w:color w:val="FFFFFF"/>
                <w:sz w:val="19"/>
                <w:szCs w:val="19"/>
              </w:rPr>
              <w:t xml:space="preserve">Task</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D — Design Foundation</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figma-design-system, then figma-screen-builder</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Derive and apply light/dark tokens across existing screens (figma-design-system); once finished, design the six guardian-consent screens from Section 8.3 (figma-screen-builder). Sequenced, not simultaneous.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0 — Foundations</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backend-api</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Repo, CI/CD, database and environment setup, in parallel with Sprint D</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1 — Auth &amp; Consent</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figma-to-code, backend-api, safeguarding-drafter</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figma-to-code converts Sprint D's finished consent screens; backend-api builds the Auth/User/Guardian API; safeguarding-drafter produces the first pass of the Section 8.1 DPIA outline for legal review</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2 — Feed &amp; Clubs</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figma-to-code, backend-api</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Feed, club pages, follow, saved posts — converting already-existing, already-retouched screens</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3 — Banter, Messaging, Notifications</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figma-screen-builder, then figma-to-code, backend-api</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figma-screen-builder designs the full-page Notification Center first (it doesn't exist yet); figma-to-code converts it alongside the already-built Banter/messaging screens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4 — Sports Hub</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backend-api</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Sports-data vendor integration and match-centre build</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5 — Admin &amp; Grassroots Records</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figma-screen-builder, then figma-to-code, backend-api</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Admin console converts directly (already fully designed); figma-screen-builder designs Grassroots record-keeping first, since no screen for it exists anywhere yet</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6 — Hardening &amp; Launch</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qa-reviewer, safeguarding-drafter</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Full regression pass, performance testing, and a final safeguarding-drafter review pass ahead of the human legal sign-off required in Section 7</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Ongoing</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competitive-scanner</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Runs the quarterly competitive-monitoring cadence from Log Book Section 19, point 10, independent of sprint cycles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Ongoing, from Sprint 5 onward</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content-ops</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Drafts blog/news articles once the Admin Console is live; a human reviews before publishing</w:t>
            </w:r>
          </w:p>
        </w:tc>
      </w:tr>
    </w:tbl>
    <w:p>
      <w:pPr>
        <w:spacing w:after="160" w:line="276"/>
      </w:pPr>
      <w:r>
        <w:t xml:space="preserve">Every agent output that touches safeguarding, legal or publishing decisions is reviewed by a human before it ships — this map assigns execution, not approval authority.</w:t>
      </w:r>
    </w:p>
    <w:p>
      <w:r>
        <w:br w:type="page"/>
      </w:r>
    </w:p>
    <w:p>
      <w:pPr>
        <w:pStyle w:val="Heading1"/>
        <w:spacing w:after="240" w:before="480"/>
      </w:pPr>
      <w:r>
        <w:rPr>
          <w:color w:val="C99A2E"/>
        </w:rPr>
        <w:t xml:space="preserve">12  </w:t>
      </w:r>
      <w:r>
        <w:t xml:space="preserve">Appendix — Cross-Reference &amp; Glossary</w:t>
      </w:r>
    </w:p>
    <w:p>
      <w:pPr>
        <w:pStyle w:val="Heading2"/>
        <w:spacing w:after="160" w:before="320"/>
      </w:pPr>
      <w:r>
        <w:t xml:space="preserve">Cross-reference to the Inventor's Log Book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5450"/>
      </w:tblGrid>
      <w:tr>
        <w:trPr>
          <w:tblHeader/>
        </w:trPr>
        <w:tc>
          <w:tcPr>
            <w:tcW w:type="dxa" w:w="3900"/>
            <w:shd w:fill="12213A" w:val="clear"/>
            <w:tcMar>
              <w:top w:type="dxa" w:w="90"/>
              <w:left w:type="dxa" w:w="110"/>
              <w:bottom w:type="dxa" w:w="90"/>
              <w:right w:type="dxa" w:w="110"/>
            </w:tcMar>
            <w:vAlign w:val="center"/>
          </w:tcPr>
          <w:p>
            <w:r>
              <w:rPr>
                <w:b/>
                <w:bCs/>
                <w:color w:val="FFFFFF"/>
                <w:sz w:val="19"/>
                <w:szCs w:val="19"/>
              </w:rPr>
              <w:t xml:space="preserve">This plan</w:t>
            </w:r>
          </w:p>
        </w:tc>
        <w:tc>
          <w:tcPr>
            <w:tcW w:type="dxa" w:w="5450"/>
            <w:shd w:fill="12213A" w:val="clear"/>
            <w:tcMar>
              <w:top w:type="dxa" w:w="90"/>
              <w:left w:type="dxa" w:w="110"/>
              <w:bottom w:type="dxa" w:w="90"/>
              <w:right w:type="dxa" w:w="110"/>
            </w:tcMar>
            <w:vAlign w:val="center"/>
          </w:tcPr>
          <w:p>
            <w:r>
              <w:rPr>
                <w:b/>
                <w:bCs/>
                <w:color w:val="FFFFFF"/>
                <w:sz w:val="19"/>
                <w:szCs w:val="19"/>
              </w:rPr>
              <w:t xml:space="preserve">Builds on Log Book</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2 (MVP Scope)</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Sections 6, 20, 24</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3–4 (Data Model, API)</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 8</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5 (Infrastructure)</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 8</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6 (Sprint Backlog)</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Sections 14, 23</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8 (Safeguarding Deliverables)</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Sections 10, 24.5</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9 (Decision Log)</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Sections 20.5, 21, 24.4</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10 (Design Cleanup)</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 23.5</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11 (Agent Map)</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 15.2</w:t>
            </w:r>
          </w:p>
        </w:tc>
      </w:tr>
    </w:tbl>
    <w:p>
      <w:pPr>
        <w:pStyle w:val="Heading2"/>
        <w:spacing w:after="160" w:before="320"/>
      </w:pPr>
      <w:r>
        <w:t xml:space="preserve">Glossary</w:t>
      </w:r>
    </w:p>
    <w:p>
      <w:pPr>
        <w:pStyle w:val="ListParagraph"/>
        <w:numPr>
          <w:ilvl w:val="0"/>
          <w:numId w:val="2"/>
        </w:numPr>
        <w:spacing w:after="90"/>
      </w:pPr>
      <w:r>
        <w:rPr>
          <w:b/>
          <w:bCs/>
        </w:rPr>
        <w:t xml:space="preserve">Beachhead city: </w:t>
      </w:r>
      <w:r>
        <w:t xml:space="preserve">the single initial launch market for MVP v1, per Log Book Section 20's minimum-entry strategy.</w:t>
      </w:r>
    </w:p>
    <w:p>
      <w:pPr>
        <w:pStyle w:val="ListParagraph"/>
        <w:numPr>
          <w:ilvl w:val="0"/>
          <w:numId w:val="2"/>
        </w:numPr>
        <w:spacing w:after="90"/>
      </w:pPr>
      <w:r>
        <w:rPr>
          <w:b/>
          <w:bCs/>
        </w:rPr>
        <w:t xml:space="preserve">Grassroots record-keeping: </w:t>
      </w:r>
      <w:r>
        <w:t xml:space="preserve">the informal team/fixture/result-logging feature that is MVP v1's concrete form of the blue-ocean wedge — new to this plan, not previously scoped anywhere.</w:t>
      </w:r>
    </w:p>
    <w:p>
      <w:pPr>
        <w:pStyle w:val="ListParagraph"/>
        <w:numPr>
          <w:ilvl w:val="0"/>
          <w:numId w:val="2"/>
        </w:numPr>
        <w:spacing w:after="90"/>
      </w:pPr>
      <w:r>
        <w:rPr>
          <w:b/>
          <w:bCs/>
        </w:rPr>
        <w:t xml:space="preserve">P0 / P1: </w:t>
      </w:r>
      <w:r>
        <w:t xml:space="preserve">blocking / major severity bug classifications used in Section 7's definition of done.</w:t>
      </w:r>
    </w:p>
    <w:p>
      <w:pPr>
        <w:pStyle w:val="ListParagraph"/>
        <w:numPr>
          <w:ilvl w:val="0"/>
          <w:numId w:val="2"/>
        </w:numPr>
        <w:spacing w:after="90"/>
      </w:pPr>
      <w:r>
        <w:rPr>
          <w:b/>
          <w:bCs/>
        </w:rPr>
        <w:t xml:space="preserve">Restricted-pending state: </w:t>
      </w:r>
      <w:r>
        <w:t xml:space="preserve">the limited-permission state a minor's account holds between registration and recorded guardian consent, per Section 8.3.</w:t>
      </w:r>
    </w:p>
    <w:p>
      <w:pPr>
        <w:spacing w:before="400"/>
      </w:pPr>
      <w:r>
        <w:rPr>
          <w:i/>
          <w:iCs/>
          <w:color w:val="5B6570"/>
        </w:rPr>
        <w:t xml:space="preserve">— End of Soccernity MVP Build Plan v1.1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0"/>
        <w:sz w:val="16"/>
        <w:szCs w:val="16"/>
      </w:rPr>
      <w:t xml:space="preserve">Page </w:t>
    </w:r>
    <w:r>
      <w:rPr>
        <w:color w:val="5B6570"/>
        <w:sz w:val="16"/>
        <w:szCs w:val="16"/>
      </w:rPr>
      <w:fldChar w:fldCharType="begin"/>
      <w:instrText xml:space="preserve">PAGE</w:instrText>
      <w:fldChar w:fldCharType="separate"/>
      <w:fldChar w:fldCharType="end"/>
    </w:r>
    <w:r>
      <w:rPr>
        <w:color w:val="5B6570"/>
        <w:sz w:val="16"/>
        <w:szCs w:val="16"/>
      </w:rPr>
      <w:t xml:space="preserve"> of </w:t>
    </w:r>
    <w:r>
      <w:rPr>
        <w:color w:val="5B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0"/>
        <w:sz w:val="16"/>
        <w:szCs w:val="16"/>
      </w:rPr>
      <w:t xml:space="preserve">SOCCERNITY — MVP Build Plan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480"/>
    </w:pPr>
    <w:rPr>
      <w:rFonts w:ascii="Calibri" w:cs="Calibri" w:eastAsia="Calibri" w:hAnsi="Calibri"/>
      <w:b/>
      <w:bCs/>
      <w:color w:val="12213A"/>
      <w:sz w:val="32"/>
      <w:szCs w:val="32"/>
    </w:rPr>
  </w:style>
  <w:style w:type="paragraph" w:styleId="Heading2">
    <w:name w:val="Heading 2"/>
    <w:basedOn w:val="Normal"/>
    <w:next w:val="Normal"/>
    <w:qFormat/>
    <w:pPr>
      <w:keepNext/>
      <w:spacing w:after="160" w:before="320"/>
    </w:pPr>
    <w:rPr>
      <w:rFonts w:ascii="Calibri" w:cs="Calibri" w:eastAsia="Calibri" w:hAnsi="Calibri"/>
      <w:b/>
      <w:bCs/>
      <w:color w:val="1E7F4C"/>
      <w:sz w:val="26"/>
      <w:szCs w:val="26"/>
    </w:rPr>
  </w:style>
  <w:style w:type="paragraph" w:styleId="Heading3">
    <w:name w:val="Heading 3"/>
    <w:basedOn w:val="Normal"/>
    <w:next w:val="Normal"/>
    <w:qFormat/>
    <w:pPr>
      <w:keepNext/>
      <w:spacing w:after="100" w:before="220"/>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2026-08-12T01:21:39.943Z</dcterms:created>
  <dcterms:modified xsi:type="dcterms:W3CDTF">2026-08-12T01:21:39.943Z</dcterms:modified>
</cp:coreProperties>
</file>

<file path=docProps/custom.xml><?xml version="1.0" encoding="utf-8"?>
<Properties xmlns="http://schemas.openxmlformats.org/officeDocument/2006/custom-properties" xmlns:vt="http://schemas.openxmlformats.org/officeDocument/2006/docPropsVTypes"/>
</file>