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Open — deliberately not resolved in that PR, whose brief scoped the new value set to "declined" alone. Recommendation on (a): a CHECK constraint on this one column, NOT a Prisma enum — an enum would change the generated TS type at every read site and make adding any future value a migration; a CHECK is also a cross-cutting convention change affecting six sibling string-enum columns (User.accountStatus, User.verificationStatus, AdminUser.accountStatus, Category.status, Fixture.status, ContestCycle.status), which is why it was flagged rather than introduced unilaterally. Founder/counsel input wanted on (b).</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20260919144247_account_anonymization_restrict_and_nullable.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