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 -- Forward-pointer: the overlay/scrim-token sub-point is resolved as part of #182/#183 (sprint-2/elevation-overlay-effect-style): elevation/overlay and its two overlay shadow variables are the overlay-elevation token. No separate scrim FILL token was created -- the working stacked color/icon/inactive scrim fills ship as-is (changing every scrim would be a further visible change).</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