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spacing w:after="40"/>
      </w:pPr>
      <w:r>
        <w:rPr>
          <w:rFonts w:ascii="Consolas" w:cs="Consolas" w:eastAsia="Consolas" w:hAnsi="Consolas"/>
          <w:color w:val="12213A"/>
          <w:sz w:val="19"/>
          <w:szCs w:val="19"/>
        </w:rPr>
        <w:t xml:space="preserve">GET    /auth/me</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 blocks deploy.yml; the workflow fails on purpose until this is resolved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(triaged) — Tier 1 fixed immediately; Tier 2 open, scheduled for a Sprint 2 NestJS/React-Router major-upgrade ticket; Tier 3 deferred until apps/mobile has real code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