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Implementation follow-up needed: lowercase-on-write at the DTO or service layer for both endpoints — not yet built as of this entry.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(decision) — open implementation ticket: lowercase-on-write normalization for register +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