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Implementation follow-up needed: lowercase-on-write at the DTO or service layer for both endpoints — not yet built as of this entry.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(decision) — open implementation ticket: lowercase-on-write normalization for register +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Open, surfaced during a Sprint 1 cleanup review, not yet resolved: the PR implementing Decision Log #16 (email lowercase normalization) correctly flagged that its fix is write-time only — any User row created with a mixed-case email before that PR merged stays exactly as stored, and won't match a post-fix, lowercased login() lookup unless separately backfilled (UPDATE "User" SET email = LOWER(email), after checking for resulting duplicate-key collisions). Whether this backfill is actually needed depends on whether any real user rows existed in a production or shared database before PR #32 merged — nothing in the codebase confirms or rules that out, and this entry does not assume a clean slate. Needs a founder/engineering check of the actual current User table before closing.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Open — check whether any pre-existing mixed-case User rows exist before deciding if a backfill migration is needed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