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 -- Forward-pointer: the overlay/scrim-token sub-point is resolved as part of #182/#183 (sprint-2/elevation-overlay-effect-style): elevation/overlay and its two overlay shadow variables are the overlay-elevation token. No separate scrim FILL token was created -- the working stacked color/icon/inactive scrim fills ship as-is (changing every scrim would be a further visible change). -- Forward-pointer: the 'no separate scrim FILL token was created' statement above is superseded by #353 (sprint-2/drawer-shadow-and-scrim-token): a real color/overlay/scrim variable now exists and all 7 stacked-fill scrims (plus the drawer instance override) are retargeted to it. #163(1) is now fully resolved; #163(2) untouched.</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