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 xml:space="preserve">Build direct messaging (conversations, message threads) from the existing Drop Down Components chat frames.</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Implemented as described (route split; both gaps flagged in code comments) — pending founder confirmation, particularly whether a consent-token lookup endpoint and a decline endpoint should be built</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Implemented as described — phone field addition and all four disabled fields flagged in code comments; pending founder confirmation on whether Bio/Location/Preferred-Club-write/DOB-edit should get real backend fields in a future sprint</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Open — button shipped disabled by design; no resend-verification endpoint or support/contact channel exists yet, real destination needed in a future sprint</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Open — both text mismatches kept as-is; would need a Figma update or a deliberate copy decision (and a test update) to resolve either direction</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Open — Categories icon accepted as interim. Admin Panel icon-library standardisation still open (flagged by every prior retrofit round). Converting the Admin Shell into a real component/instance set recommended as a follow-up, deferred here.</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Open — normalise all Admin Panel frames to 1184 tall and shift content, or accept the y-95 adaptation as canon.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Open — confirm the per-screen labels, and confirm whether form/sub-screens should carry a top-bar action at all when they already have an in-content submit button.</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Open — the calendar component needs its own token-retrofit pass.</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Open — does the Admin Console get its own account entity, or reuse User with a role check? Not a design-token question; flagged for founder/backend.</w:t>
            </w:r>
          </w:p>
        </w:tc>
      </w:tr>
      <w:tr>
        <w:tc>
          <w:tcPr>
            <w:tcW w:type="dxa" w:w="500"/>
          </w:tcPr>
          <w:p>
            <w:r/>
            <w:r>
              <w:t>55</w:t>
            </w:r>
          </w:p>
        </w:tc>
        <w:tc>
          <w:tcPr>
            <w:tcW w:type="dxa" w:w="4700"/>
          </w:tcPr>
          <w:p>
            <w:r/>
            <w:r>
              <w:t>Third-party sign-in (Google / Apple / Facebook) on Login &amp; Register (desktop + mobile). Placement relative to the email/password form, visual hierarchy between the two auth paths, and the order of the three providers.</w:t>
            </w:r>
          </w:p>
        </w:tc>
        <w:tc>
          <w:tcPr>
            <w:tcW w:type="dxa" w:w="1850"/>
          </w:tcPr>
          <w:p>
            <w:r/>
            <w:r>
              <w:t>sprint-2/auth-social-signin report section 7</w:t>
            </w:r>
          </w:p>
        </w:tc>
        <w:tc>
          <w:tcPr>
            <w:tcW w:type="dxa" w:w="2300"/>
          </w:tcPr>
          <w:p>
            <w:r/>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