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2213A"/>
          <w:sz w:val="56"/>
          <w:szCs w:val="56"/>
        </w:rPr>
        <w:t xml:space="preserve">S O C C E R N I T Y</w:t>
      </w:r>
    </w:p>
    <w:p>
      <w:pPr>
        <w:spacing w:after="80"/>
        <w:jc w:val="center"/>
      </w:pPr>
      <w:r>
        <w:rPr>
          <w:b/>
          <w:bCs/>
          <w:color w:val="1E7F4C"/>
          <w:spacing w:val="20"/>
          <w:sz w:val="22"/>
          <w:szCs w:val="22"/>
        </w:rPr>
        <w:t xml:space="preserve">MVP BUILD PLAN</w:t>
      </w:r>
    </w:p>
    <w:p>
      <w:pPr>
        <w:spacing w:after="40" w:before="400"/>
        <w:jc w:val="center"/>
      </w:pPr>
      <w:r>
        <w:rPr>
          <w:b/>
          <w:bCs/>
          <w:color w:val="1A1A1A"/>
          <w:sz w:val="36"/>
          <w:szCs w:val="36"/>
        </w:rPr>
        <w:t xml:space="preserve">Engineer &amp; Claude-Agent Execution Guide</w:t>
      </w:r>
    </w:p>
    <w:p>
      <w:pPr>
        <w:spacing w:after="600"/>
        <w:jc w:val="center"/>
      </w:pPr>
      <w:r>
        <w:rPr>
          <w:i/>
          <w:iCs/>
          <w:color w:val="5B6570"/>
          <w:sz w:val="22"/>
          <w:szCs w:val="22"/>
        </w:rPr>
        <w:t xml:space="preserve">Version 1.4 — Companion to the Inventor's Log Book v2.9</w:t>
      </w:r>
    </w:p>
    <w:p>
      <w:pPr>
        <w:spacing w:after="60"/>
        <w:jc w:val="center"/>
      </w:pPr>
      <w:r>
        <w:rPr>
          <w:sz w:val="22"/>
          <w:szCs w:val="22"/>
        </w:rPr>
        <w:t xml:space="preserve">Founder: Temiloluwa Titiloye</w:t>
      </w:r>
    </w:p>
    <w:p>
      <w:pPr>
        <w:spacing w:after="60"/>
        <w:jc w:val="center"/>
      </w:pPr>
      <w:r>
        <w:rPr>
          <w:color w:val="5B6570"/>
          <w:sz w:val="20"/>
          <w:szCs w:val="20"/>
        </w:rPr>
        <w:t xml:space="preserve">Soccernity Ltd  •  soccernity.com</w:t>
      </w:r>
    </w:p>
    <w:p>
      <w:pPr>
        <w:spacing w:before="900"/>
        <w:jc w:val="center"/>
      </w:pPr>
      <w:r>
        <w:rPr>
          <w:i/>
          <w:iCs/>
          <w:color w:val="5B6570"/>
          <w:sz w:val="20"/>
          <w:szCs w:val="20"/>
        </w:rPr>
        <w:t xml:space="preserve">This document is the tactical companion to the Inventor's Log Book. It is written to be handed directly to an engineer, or to a Claude Code session, with the instruction: start building.</w:t>
      </w:r>
    </w:p>
    <w:p>
      <w:r>
        <w:br w:type="page"/>
      </w:r>
    </w:p>
    <w:p>
      <w:pPr>
        <w:pStyle w:val="Heading1"/>
        <w:spacing w:after="240" w:before="480"/>
      </w:pPr>
      <w:r>
        <w:t xml:space="preserve">Table of Contents</w:t>
      </w:r>
    </w:p>
    <w:tbl>
      <w:tblPr>
        <w:tblW w:type="dxa" w:w="10050"/>
        <w:tblBorders>
          <w:top w:val="none"/>
          <w:left w:val="none"/>
          <w:bottom w:val="none"/>
          <w:right w:val="none"/>
          <w:insideH w:val="none"/>
          <w:insideV w:val="none"/>
        </w:tblBorders>
      </w:tblPr>
      <w:tblGrid>
        <w:gridCol w:w="560"/>
        <w:gridCol w:w="8790"/>
        <w:gridCol w:w="700"/>
      </w:tblGrid>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w:t>
            </w:r>
          </w:p>
        </w:tc>
        <w:tc>
          <w:tcPr>
            <w:tcW w:type="dxa" w:w="8790"/>
            <w:tcBorders>
              <w:top w:val="none"/>
              <w:left w:val="none"/>
              <w:bottom w:val="none"/>
              <w:right w:val="none"/>
            </w:tcBorders>
            <w:tcMar>
              <w:top w:type="dxa" w:w="60"/>
              <w:left w:type="dxa" w:w="0"/>
              <w:bottom w:type="dxa" w:w="60"/>
              <w:right w:type="dxa" w:w="0"/>
            </w:tcMar>
          </w:tcPr>
          <w:p>
            <w:r>
              <w:t xml:space="preserve">How to Use This Document</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3</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2</w:t>
            </w:r>
          </w:p>
        </w:tc>
        <w:tc>
          <w:tcPr>
            <w:tcW w:type="dxa" w:w="8790"/>
            <w:tcBorders>
              <w:top w:val="none"/>
              <w:left w:val="none"/>
              <w:bottom w:val="none"/>
              <w:right w:val="none"/>
            </w:tcBorders>
            <w:tcMar>
              <w:top w:type="dxa" w:w="60"/>
              <w:left w:type="dxa" w:w="0"/>
              <w:bottom w:type="dxa" w:w="60"/>
              <w:right w:type="dxa" w:w="0"/>
            </w:tcMar>
          </w:tcPr>
          <w:p>
            <w:r>
              <w:t xml:space="preserve">MVP Scope — In and Out</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4</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3</w:t>
            </w:r>
          </w:p>
        </w:tc>
        <w:tc>
          <w:tcPr>
            <w:tcW w:type="dxa" w:w="8790"/>
            <w:tcBorders>
              <w:top w:val="none"/>
              <w:left w:val="none"/>
              <w:bottom w:val="none"/>
              <w:right w:val="none"/>
            </w:tcBorders>
            <w:tcMar>
              <w:top w:type="dxa" w:w="60"/>
              <w:left w:type="dxa" w:w="0"/>
              <w:bottom w:type="dxa" w:w="60"/>
              <w:right w:type="dxa" w:w="0"/>
            </w:tcMar>
          </w:tcPr>
          <w:p>
            <w:r>
              <w:t xml:space="preserve">Data Model</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6</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4</w:t>
            </w:r>
          </w:p>
        </w:tc>
        <w:tc>
          <w:tcPr>
            <w:tcW w:type="dxa" w:w="8790"/>
            <w:tcBorders>
              <w:top w:val="none"/>
              <w:left w:val="none"/>
              <w:bottom w:val="none"/>
              <w:right w:val="none"/>
            </w:tcBorders>
            <w:tcMar>
              <w:top w:type="dxa" w:w="60"/>
              <w:left w:type="dxa" w:w="0"/>
              <w:bottom w:type="dxa" w:w="60"/>
              <w:right w:type="dxa" w:w="0"/>
            </w:tcMar>
          </w:tcPr>
          <w:p>
            <w:r>
              <w:t xml:space="preserve">API Contract Sketch</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8</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5</w:t>
            </w:r>
          </w:p>
        </w:tc>
        <w:tc>
          <w:tcPr>
            <w:tcW w:type="dxa" w:w="8790"/>
            <w:tcBorders>
              <w:top w:val="none"/>
              <w:left w:val="none"/>
              <w:bottom w:val="none"/>
              <w:right w:val="none"/>
            </w:tcBorders>
            <w:tcMar>
              <w:top w:type="dxa" w:w="60"/>
              <w:left w:type="dxa" w:w="0"/>
              <w:bottom w:type="dxa" w:w="60"/>
              <w:right w:type="dxa" w:w="0"/>
            </w:tcMar>
          </w:tcPr>
          <w:p>
            <w:r>
              <w:t xml:space="preserve">System &amp; Infrastructure Decisions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10</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6</w:t>
            </w:r>
          </w:p>
        </w:tc>
        <w:tc>
          <w:tcPr>
            <w:tcW w:type="dxa" w:w="8790"/>
            <w:tcBorders>
              <w:top w:val="none"/>
              <w:left w:val="none"/>
              <w:bottom w:val="none"/>
              <w:right w:val="none"/>
            </w:tcBorders>
            <w:tcMar>
              <w:top w:type="dxa" w:w="60"/>
              <w:left w:type="dxa" w:w="0"/>
              <w:bottom w:type="dxa" w:w="60"/>
              <w:right w:type="dxa" w:w="0"/>
            </w:tcMar>
          </w:tcPr>
          <w:p>
            <w:r>
              <w:t xml:space="preserve">Sprint-by-Sprint Backlog</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12</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7</w:t>
            </w:r>
          </w:p>
        </w:tc>
        <w:tc>
          <w:tcPr>
            <w:tcW w:type="dxa" w:w="8790"/>
            <w:tcBorders>
              <w:top w:val="none"/>
              <w:left w:val="none"/>
              <w:bottom w:val="none"/>
              <w:right w:val="none"/>
            </w:tcBorders>
            <w:tcMar>
              <w:top w:type="dxa" w:w="60"/>
              <w:left w:type="dxa" w:w="0"/>
              <w:bottom w:type="dxa" w:w="60"/>
              <w:right w:type="dxa" w:w="0"/>
            </w:tcMar>
          </w:tcPr>
          <w:p>
            <w:r>
              <w:t xml:space="preserve">Definition of Done</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15</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8</w:t>
            </w:r>
          </w:p>
        </w:tc>
        <w:tc>
          <w:tcPr>
            <w:tcW w:type="dxa" w:w="8790"/>
            <w:tcBorders>
              <w:top w:val="none"/>
              <w:left w:val="none"/>
              <w:bottom w:val="none"/>
              <w:right w:val="none"/>
            </w:tcBorders>
            <w:tcMar>
              <w:top w:type="dxa" w:w="60"/>
              <w:left w:type="dxa" w:w="0"/>
              <w:bottom w:type="dxa" w:w="60"/>
              <w:right w:type="dxa" w:w="0"/>
            </w:tcMar>
          </w:tcPr>
          <w:p>
            <w:r>
              <w:t xml:space="preserve">Safeguarding Deliverables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16</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9</w:t>
            </w:r>
          </w:p>
        </w:tc>
        <w:tc>
          <w:tcPr>
            <w:tcW w:type="dxa" w:w="8790"/>
            <w:tcBorders>
              <w:top w:val="none"/>
              <w:left w:val="none"/>
              <w:bottom w:val="none"/>
              <w:right w:val="none"/>
            </w:tcBorders>
            <w:tcMar>
              <w:top w:type="dxa" w:w="60"/>
              <w:left w:type="dxa" w:w="0"/>
              <w:bottom w:type="dxa" w:w="60"/>
              <w:right w:type="dxa" w:w="0"/>
            </w:tcMar>
          </w:tcPr>
          <w:p>
            <w:r>
              <w:t xml:space="preserve">Consolidated Decision Log</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18</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10</w:t>
            </w:r>
          </w:p>
        </w:tc>
        <w:tc>
          <w:tcPr>
            <w:tcW w:type="dxa" w:w="8790"/>
            <w:tcBorders>
              <w:top w:val="none"/>
              <w:left w:val="none"/>
              <w:bottom w:val="none"/>
              <w:right w:val="none"/>
            </w:tcBorders>
            <w:tcMar>
              <w:top w:type="dxa" w:w="60"/>
              <w:left w:type="dxa" w:w="0"/>
              <w:bottom w:type="dxa" w:w="60"/>
              <w:right w:type="dxa" w:w="0"/>
            </w:tcMar>
          </w:tcPr>
          <w:p>
            <w:r>
              <w:t xml:space="preserve">Design System Cleanup Tickets</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19</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11</w:t>
            </w:r>
          </w:p>
        </w:tc>
        <w:tc>
          <w:tcPr>
            <w:tcW w:type="dxa" w:w="8790"/>
            <w:tcBorders>
              <w:top w:val="none"/>
              <w:left w:val="none"/>
              <w:bottom w:val="none"/>
              <w:right w:val="none"/>
            </w:tcBorders>
            <w:tcMar>
              <w:top w:type="dxa" w:w="60"/>
              <w:left w:type="dxa" w:w="0"/>
              <w:bottom w:type="dxa" w:w="60"/>
              <w:right w:type="dxa" w:w="0"/>
            </w:tcMar>
          </w:tcPr>
          <w:p>
            <w:r>
              <w:t xml:space="preserve">Claude Agent Assignment Map</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20</w:t>
            </w:r>
          </w:p>
        </w:tc>
      </w:tr>
      <w:tr>
        <w:tc>
          <w:tcPr>
            <w:tcW w:type="dxa" w:w="560"/>
            <w:tcBorders>
              <w:top w:val="none"/>
              <w:left w:val="none"/>
              <w:bottom w:val="none"/>
              <w:right w:val="none"/>
            </w:tcBorders>
            <w:tcMar>
              <w:top w:type="dxa" w:w="60"/>
              <w:left w:type="dxa" w:w="0"/>
              <w:bottom w:type="dxa" w:w="60"/>
              <w:right w:type="dxa" w:w="0"/>
            </w:tcMar>
          </w:tcPr>
          <w:p>
            <w:r>
              <w:rPr>
                <w:b/>
                <w:bCs/>
                <w:color w:val="12213A"/>
              </w:rPr>
              <w:t xml:space="preserve">12</w:t>
            </w:r>
          </w:p>
        </w:tc>
        <w:tc>
          <w:tcPr>
            <w:tcW w:type="dxa" w:w="8790"/>
            <w:tcBorders>
              <w:top w:val="none"/>
              <w:left w:val="none"/>
              <w:bottom w:val="none"/>
              <w:right w:val="none"/>
            </w:tcBorders>
            <w:tcMar>
              <w:top w:type="dxa" w:w="60"/>
              <w:left w:type="dxa" w:w="0"/>
              <w:bottom w:type="dxa" w:w="60"/>
              <w:right w:type="dxa" w:w="0"/>
            </w:tcMar>
          </w:tcPr>
          <w:p>
            <w:r>
              <w:t xml:space="preserve">Appendix — Cross-Reference &amp; Glossary</w:t>
            </w:r>
          </w:p>
        </w:tc>
        <w:tc>
          <w:tcPr>
            <w:tcW w:type="dxa" w:w="700"/>
            <w:tcBorders>
              <w:top w:val="none"/>
              <w:left w:val="none"/>
              <w:bottom w:val="none"/>
              <w:right w:val="none"/>
            </w:tcBorders>
            <w:tcMar>
              <w:top w:type="dxa" w:w="60"/>
              <w:left w:type="dxa" w:w="0"/>
              <w:bottom w:type="dxa" w:w="60"/>
              <w:right w:type="dxa" w:w="0"/>
            </w:tcMar>
          </w:tcPr>
          <w:p>
            <w:pPr>
              <w:jc w:val="right"/>
            </w:pPr>
            <w:r>
              <w:rPr>
                <w:color w:val="5B6570"/>
              </w:rPr>
              <w:t xml:space="preserve">21</w:t>
            </w:r>
          </w:p>
        </w:tc>
      </w:tr>
    </w:tbl>
    <w:p>
      <w:r>
        <w:br w:type="page"/>
      </w:r>
    </w:p>
    <w:p>
      <w:pPr>
        <w:pStyle w:val="Heading1"/>
        <w:spacing w:after="240" w:before="480"/>
      </w:pPr>
      <w:r>
        <w:rPr>
          <w:color w:val="C99A2E"/>
        </w:rPr>
        <w:t xml:space="preserve">1  </w:t>
      </w:r>
      <w:r>
        <w:t xml:space="preserve">How to Use This Document</w:t>
      </w:r>
    </w:p>
    <w:p>
      <w:pPr>
        <w:spacing w:after="160" w:line="276"/>
      </w:pPr>
      <w:r>
        <w:t xml:space="preserve">This is a tactical execution document, not a strategy document — the strategic and inventive record lives in the Inventor's Log Book v2.9 (referenced throughout as “the Log Book”), and this plan does not repeat that reasoning. Every section here is written to be actioned directly: an engineer should be able to open Section 3 and start a database schema, or open Section 6 and start Sprint 1, without reading anything else first.</w:t>
      </w:r>
    </w:p>
    <w:p>
      <w:pPr>
        <w:pStyle w:val="Heading2"/>
        <w:spacing w:after="160" w:before="320"/>
      </w:pPr>
      <w:r>
        <w:t xml:space="preserve">1.1 Structure</w:t>
      </w:r>
    </w:p>
    <w:p>
      <w:pPr>
        <w:pStyle w:val="ListParagraph"/>
        <w:numPr>
          <w:ilvl w:val="0"/>
          <w:numId w:val="2"/>
        </w:numPr>
        <w:spacing w:after="90"/>
      </w:pPr>
      <w:r>
        <w:t xml:space="preserve">Section 2 states exactly what ships in MVP v1 and what is deliberately deferred, with the reasoning tied back to the Log Book's own blue-ocean strategy (Log Book Section 20).</w:t>
      </w:r>
    </w:p>
    <w:p>
      <w:pPr>
        <w:pStyle w:val="ListParagraph"/>
        <w:numPr>
          <w:ilvl w:val="0"/>
          <w:numId w:val="2"/>
        </w:numPr>
        <w:spacing w:after="90"/>
      </w:pPr>
      <w:r>
        <w:t xml:space="preserve">Sections 3–5 are the technical specification: data model, API contract, infrastructure choices.</w:t>
      </w:r>
    </w:p>
    <w:p>
      <w:pPr>
        <w:pStyle w:val="ListParagraph"/>
        <w:numPr>
          <w:ilvl w:val="0"/>
          <w:numId w:val="2"/>
        </w:numPr>
        <w:spacing w:after="90"/>
      </w:pPr>
      <w:r>
        <w:t xml:space="preserve">Section 6 is the week-by-week backlog.</w:t>
      </w:r>
    </w:p>
    <w:p>
      <w:pPr>
        <w:pStyle w:val="ListParagraph"/>
        <w:numPr>
          <w:ilvl w:val="0"/>
          <w:numId w:val="2"/>
        </w:numPr>
        <w:spacing w:after="90"/>
      </w:pPr>
      <w:r>
        <w:t xml:space="preserve">Section 7 is the acceptance checklist — how you know MVP v1 is actually done.</w:t>
      </w:r>
    </w:p>
    <w:p>
      <w:pPr>
        <w:pStyle w:val="ListParagraph"/>
        <w:numPr>
          <w:ilvl w:val="0"/>
          <w:numId w:val="2"/>
        </w:numPr>
        <w:spacing w:after="90"/>
      </w:pPr>
      <w:r>
        <w:t xml:space="preserve">Section 8 closes the single most important gap flagged in Log Book Section 24.5: the age-verification / guardian-consent workflow.</w:t>
      </w:r>
    </w:p>
    <w:p>
      <w:pPr>
        <w:pStyle w:val="ListParagraph"/>
        <w:numPr>
          <w:ilvl w:val="0"/>
          <w:numId w:val="2"/>
        </w:numPr>
        <w:spacing w:after="90"/>
      </w:pPr>
      <w:r>
        <w:t xml:space="preserve">Section 9 consolidates every open founder decision that was previously scattered across three different Log Book sections into one list.</w:t>
      </w:r>
    </w:p>
    <w:p>
      <w:pPr>
        <w:pStyle w:val="ListParagraph"/>
        <w:numPr>
          <w:ilvl w:val="0"/>
          <w:numId w:val="2"/>
        </w:numPr>
        <w:spacing w:after="90"/>
      </w:pPr>
      <w:r>
        <w:t xml:space="preserve">Sections 10–11 are handoff logistics — design cleanup and who (human or Claude agent) does each piece of work.</w:t>
      </w:r>
    </w:p>
    <w:p>
      <w:pPr>
        <w:pStyle w:val="Heading2"/>
        <w:spacing w:after="160" w:before="320"/>
      </w:pPr>
      <w:r>
        <w:t xml:space="preserve">1.2 How to use this with Claude agents</w:t>
      </w:r>
    </w:p>
    <w:p>
      <w:pPr>
        <w:spacing w:after="160" w:line="276"/>
      </w:pPr>
      <w:r>
        <w:t xml:space="preserve">Log Book Section 15.2 now specifies eight Claude Code subagents — figma-design-system, figma-screen-builder, figma-to-code, backend-api, qa-reviewer, competitive-scanner, content-ops, safeguarding-drafter — all installed as working `.claude/agents/` files in the project repository. Section 11 of this document assigns each sprint in Section 6 to the agent best suited to it, including the sequencing dependency for the three Figma-facing agents (figma-design-system before figma-screen-builder before figma-to-code). The recommended workflow: open a Claude Code session in the project repository, point the relevant agent at the specific Section 6 sprint tasks and the Section 4 API contract or Section 3 data model as applicable, and let it work inside its scoped tool access. A human still reviews every pull request — none of these agents are configured for unsupervised merges.</w:t>
      </w:r>
    </w:p>
    <w:p>
      <w:pPr>
        <w:pStyle w:val="Heading2"/>
        <w:spacing w:after="160" w:before="320"/>
      </w:pPr>
      <w:r>
        <w:t xml:space="preserve">1.3 A note on iteration</w:t>
      </w:r>
    </w:p>
    <w:p>
      <w:pPr>
        <w:spacing w:after="160" w:line="276"/>
      </w:pPr>
      <w:r>
        <w:t xml:space="preserve">This plan is versioned and expected to change — see the version number on the title page for the current one. Sprint estimates, the data model and the API contract are all working hypotheses meant to get a small team moving quickly, not a frozen specification. Treat Section 9 (Decision Log) as the live document within this plan — update it as decisions are made, and revise sprint scope honestly if a sprint runs long rather than silently carrying debt forward.</w:t>
      </w:r>
    </w:p>
    <w:p>
      <w:r>
        <w:br w:type="page"/>
      </w:r>
    </w:p>
    <w:p>
      <w:pPr>
        <w:pStyle w:val="Heading1"/>
        <w:spacing w:after="240" w:before="480"/>
      </w:pPr>
      <w:r>
        <w:rPr>
          <w:color w:val="C99A2E"/>
        </w:rPr>
        <w:t xml:space="preserve">2  </w:t>
      </w:r>
      <w:r>
        <w:t xml:space="preserve">MVP Scope — In and Out</w:t>
      </w:r>
    </w:p>
    <w:p>
      <w:pPr>
        <w:spacing w:after="160" w:line="276"/>
      </w:pPr>
      <w:r>
        <w:t xml:space="preserve">The Log Book catalogues 36 features across six pillars (Log Book Section 24.1). Building all of them before launch would take too long and would ignore the Log Book's own strategic conclusion (Section 20): enter through the unaffiliated, informal-grassroots community wedge, not through a capital-intensive AI-scouting contest. MVP v1 scope follows that conclusion directly, and leans on what is already designed in Figma (Log Book Section 23) to move fast.</w:t>
      </w:r>
    </w:p>
    <w:p>
      <w:pPr>
        <w:pStyle w:val="Heading2"/>
        <w:spacing w:after="160" w:before="320"/>
      </w:pPr>
      <w:r>
        <w:t xml:space="preserve">2.1 IN — ships in MVP v1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2213A" w:val="clear"/>
            <w:tcMar>
              <w:top w:type="dxa" w:w="90"/>
              <w:left w:type="dxa" w:w="110"/>
              <w:bottom w:type="dxa" w:w="90"/>
              <w:right w:type="dxa" w:w="110"/>
            </w:tcMar>
            <w:vAlign w:val="center"/>
          </w:tcPr>
          <w:p>
            <w:r>
              <w:rPr>
                <w:b/>
                <w:bCs/>
                <w:color w:val="FFFFFF"/>
                <w:sz w:val="19"/>
                <w:szCs w:val="19"/>
              </w:rPr>
              <w:t xml:space="preserve">Area</w:t>
            </w:r>
          </w:p>
        </w:tc>
        <w:tc>
          <w:tcPr>
            <w:tcW w:type="dxa" w:w="6750"/>
            <w:shd w:fill="12213A" w:val="clear"/>
            <w:tcMar>
              <w:top w:type="dxa" w:w="90"/>
              <w:left w:type="dxa" w:w="110"/>
              <w:bottom w:type="dxa" w:w="90"/>
              <w:right w:type="dxa" w:w="110"/>
            </w:tcMar>
            <w:vAlign w:val="center"/>
          </w:tcPr>
          <w:p>
            <w:r>
              <w:rPr>
                <w:b/>
                <w:bCs/>
                <w:color w:val="FFFFFF"/>
                <w:sz w:val="19"/>
                <w:szCs w:val="19"/>
              </w:rPr>
              <w:t xml:space="preserve">Included</w:t>
            </w:r>
          </w:p>
        </w:tc>
      </w:tr>
      <w:tr>
        <w:tc>
          <w:tcPr>
            <w:tcW w:type="dxa" w:w="2600"/>
            <w:shd w:fill="FFFFFF" w:val="clear"/>
            <w:tcMar>
              <w:top w:type="dxa" w:w="90"/>
              <w:left w:type="dxa" w:w="110"/>
              <w:bottom w:type="dxa" w:w="90"/>
              <w:right w:type="dxa" w:w="110"/>
            </w:tcMar>
            <w:vAlign w:val="center"/>
          </w:tcPr>
          <w:p>
            <w:r>
              <w:rPr>
                <w:b w:val="false"/>
                <w:bCs w:val="false"/>
                <w:color w:val="1A1A1A"/>
                <w:sz w:val="19"/>
                <w:szCs w:val="19"/>
              </w:rPr>
              <w:t xml:space="preserve">Community</w:t>
            </w:r>
          </w:p>
        </w:tc>
        <w:tc>
          <w:tcPr>
            <w:tcW w:type="dxa" w:w="6750"/>
            <w:shd w:fill="FFFFFF" w:val="clear"/>
            <w:tcMar>
              <w:top w:type="dxa" w:w="90"/>
              <w:left w:type="dxa" w:w="110"/>
              <w:bottom w:type="dxa" w:w="90"/>
              <w:right w:type="dxa" w:w="110"/>
            </w:tcMar>
            <w:vAlign w:val="center"/>
          </w:tcPr>
          <w:p>
            <w:r>
              <w:rPr>
                <w:b w:val="false"/>
                <w:bCs w:val="false"/>
                <w:color w:val="1A1A1A"/>
                <w:sz w:val="19"/>
                <w:szCs w:val="19"/>
              </w:rPr>
              <w:t xml:space="preserve">Auth (register/login/forgot/reset/email verification); age declaration at signup; profile view/edit; feed (create/view/like/comment); club fan pages (auto-join); Banter Rooms; Community Groups (city/position/career-track-based, distinct from Banter Rooms per Decision Log item #1); direct messaging; full-page notification centre (upgraded from the dropdown-only version in Figma); search &amp; trending; saved posts; one consolidated settings screen; report/block</w:t>
            </w:r>
          </w:p>
        </w:tc>
      </w:tr>
      <w:tr>
        <w:tc>
          <w:tcPr>
            <w:tcW w:type="dxa" w:w="2600"/>
            <w:shd w:fill="EFF3EE" w:val="clear"/>
            <w:tcMar>
              <w:top w:type="dxa" w:w="90"/>
              <w:left w:type="dxa" w:w="110"/>
              <w:bottom w:type="dxa" w:w="90"/>
              <w:right w:type="dxa" w:w="110"/>
            </w:tcMar>
            <w:vAlign w:val="center"/>
          </w:tcPr>
          <w:p>
            <w:r>
              <w:rPr>
                <w:b w:val="false"/>
                <w:bCs w:val="false"/>
                <w:color w:val="1A1A1A"/>
                <w:sz w:val="19"/>
                <w:szCs w:val="19"/>
              </w:rPr>
              <w:t xml:space="preserve">Sports Hub</w:t>
            </w:r>
          </w:p>
        </w:tc>
        <w:tc>
          <w:tcPr>
            <w:tcW w:type="dxa" w:w="6750"/>
            <w:shd w:fill="EFF3EE" w:val="clear"/>
            <w:tcMar>
              <w:top w:type="dxa" w:w="90"/>
              <w:left w:type="dxa" w:w="110"/>
              <w:bottom w:type="dxa" w:w="90"/>
              <w:right w:type="dxa" w:w="110"/>
            </w:tcMar>
            <w:vAlign w:val="center"/>
          </w:tcPr>
          <w:p>
            <w:r>
              <w:rPr>
                <w:b w:val="false"/>
                <w:bCs w:val="false"/>
                <w:color w:val="1A1A1A"/>
                <w:sz w:val="19"/>
                <w:szCs w:val="19"/>
              </w:rPr>
              <w:t xml:space="preserve">Live scores &amp; fixtures; match centre (details, stats, lineups, H2H, standings); news/blog feed and article detail; video highlights</w:t>
            </w:r>
          </w:p>
        </w:tc>
      </w:tr>
      <w:tr>
        <w:tc>
          <w:tcPr>
            <w:tcW w:type="dxa" w:w="2600"/>
            <w:shd w:fill="FFFFFF" w:val="clear"/>
            <w:tcMar>
              <w:top w:type="dxa" w:w="90"/>
              <w:left w:type="dxa" w:w="110"/>
              <w:bottom w:type="dxa" w:w="90"/>
              <w:right w:type="dxa" w:w="110"/>
            </w:tcMar>
            <w:vAlign w:val="center"/>
          </w:tcPr>
          <w:p>
            <w:r>
              <w:rPr>
                <w:b w:val="false"/>
                <w:bCs w:val="false"/>
                <w:color w:val="1A1A1A"/>
                <w:sz w:val="19"/>
                <w:szCs w:val="19"/>
              </w:rPr>
              <w:t xml:space="preserve">Play &amp; Compete</w:t>
            </w:r>
          </w:p>
        </w:tc>
        <w:tc>
          <w:tcPr>
            <w:tcW w:type="dxa" w:w="6750"/>
            <w:shd w:fill="FFFFFF" w:val="clear"/>
            <w:tcMar>
              <w:top w:type="dxa" w:w="90"/>
              <w:left w:type="dxa" w:w="110"/>
              <w:bottom w:type="dxa" w:w="90"/>
              <w:right w:type="dxa" w:w="110"/>
            </w:tcMar>
            <w:vAlign w:val="center"/>
          </w:tcPr>
          <w:p>
            <w:r>
              <w:rPr>
                <w:b w:val="false"/>
                <w:bCs w:val="false"/>
                <w:color w:val="1A1A1A"/>
                <w:sz w:val="19"/>
                <w:szCs w:val="19"/>
              </w:rPr>
              <w:t xml:space="preserve">Leaderboard only, as a read-only ranking tied to community engagement — not the full fantasy-manager team-builder</w:t>
            </w:r>
          </w:p>
        </w:tc>
      </w:tr>
      <w:tr>
        <w:tc>
          <w:tcPr>
            <w:tcW w:type="dxa" w:w="2600"/>
            <w:shd w:fill="EFF3EE" w:val="clear"/>
            <w:tcMar>
              <w:top w:type="dxa" w:w="90"/>
              <w:left w:type="dxa" w:w="110"/>
              <w:bottom w:type="dxa" w:w="90"/>
              <w:right w:type="dxa" w:w="110"/>
            </w:tcMar>
            <w:vAlign w:val="center"/>
          </w:tcPr>
          <w:p>
            <w:r>
              <w:rPr>
                <w:b w:val="false"/>
                <w:bCs w:val="false"/>
                <w:color w:val="1A1A1A"/>
                <w:sz w:val="19"/>
                <w:szCs w:val="19"/>
              </w:rPr>
              <w:t xml:space="preserve">Admin &amp; Operations Console</w:t>
            </w:r>
          </w:p>
        </w:tc>
        <w:tc>
          <w:tcPr>
            <w:tcW w:type="dxa" w:w="6750"/>
            <w:shd w:fill="EFF3EE" w:val="clear"/>
            <w:tcMar>
              <w:top w:type="dxa" w:w="90"/>
              <w:left w:type="dxa" w:w="110"/>
              <w:bottom w:type="dxa" w:w="90"/>
              <w:right w:type="dxa" w:w="110"/>
            </w:tcMar>
            <w:vAlign w:val="center"/>
          </w:tcPr>
          <w:p>
            <w:r>
              <w:rPr>
                <w:b w:val="false"/>
                <w:bCs w:val="false"/>
                <w:color w:val="1A1A1A"/>
                <w:sz w:val="19"/>
                <w:szCs w:val="19"/>
              </w:rPr>
              <w:t xml:space="preserve">Dashboard; article &amp; category management; media library; user management; a moderation queue (new — see Section 8.4)</w:t>
            </w:r>
          </w:p>
        </w:tc>
      </w:tr>
      <w:tr>
        <w:tc>
          <w:tcPr>
            <w:tcW w:type="dxa" w:w="2600"/>
            <w:shd w:fill="FFFFFF" w:val="clear"/>
            <w:tcMar>
              <w:top w:type="dxa" w:w="90"/>
              <w:left w:type="dxa" w:w="110"/>
              <w:bottom w:type="dxa" w:w="90"/>
              <w:right w:type="dxa" w:w="110"/>
            </w:tcMar>
            <w:vAlign w:val="center"/>
          </w:tcPr>
          <w:p>
            <w:r>
              <w:rPr>
                <w:b w:val="false"/>
                <w:bCs w:val="false"/>
                <w:color w:val="1A1A1A"/>
                <w:sz w:val="19"/>
                <w:szCs w:val="19"/>
              </w:rPr>
              <w:t xml:space="preserve">Grassroots record-keeping (NEW)</w:t>
            </w:r>
          </w:p>
        </w:tc>
        <w:tc>
          <w:tcPr>
            <w:tcW w:type="dxa" w:w="6750"/>
            <w:shd w:fill="FFFFFF" w:val="clear"/>
            <w:tcMar>
              <w:top w:type="dxa" w:w="90"/>
              <w:left w:type="dxa" w:w="110"/>
              <w:bottom w:type="dxa" w:w="90"/>
              <w:right w:type="dxa" w:w="110"/>
            </w:tcMar>
            <w:vAlign w:val="center"/>
          </w:tcPr>
          <w:p>
            <w:r>
              <w:rPr>
                <w:b w:val="false"/>
                <w:bCs w:val="false"/>
                <w:color w:val="1A1A1A"/>
                <w:sz w:val="19"/>
                <w:szCs w:val="19"/>
              </w:rPr>
              <w:t xml:space="preserve">Informal team/league profile creation; manual fixture and result logging; a public team/league page — this is the concrete, buildable form of the Log Book Section 20 blue-ocean wedge and has no prior Figma screen, so it is scoped fresh in Section 3–4 of this plan</w:t>
            </w:r>
          </w:p>
        </w:tc>
      </w:tr>
      <w:tr>
        <w:tc>
          <w:tcPr>
            <w:tcW w:type="dxa" w:w="2600"/>
            <w:shd w:fill="EFF3EE" w:val="clear"/>
            <w:tcMar>
              <w:top w:type="dxa" w:w="90"/>
              <w:left w:type="dxa" w:w="110"/>
              <w:bottom w:type="dxa" w:w="90"/>
              <w:right w:type="dxa" w:w="110"/>
            </w:tcMar>
            <w:vAlign w:val="center"/>
          </w:tcPr>
          <w:p>
            <w:r>
              <w:rPr>
                <w:b w:val="false"/>
                <w:bCs w:val="false"/>
                <w:color w:val="1A1A1A"/>
                <w:sz w:val="19"/>
                <w:szCs w:val="19"/>
              </w:rPr>
              <w:t xml:space="preserve">Legal &amp; safeguarding baseline</w:t>
            </w:r>
          </w:p>
        </w:tc>
        <w:tc>
          <w:tcPr>
            <w:tcW w:type="dxa" w:w="6750"/>
            <w:shd w:fill="EFF3EE" w:val="clear"/>
            <w:tcMar>
              <w:top w:type="dxa" w:w="90"/>
              <w:left w:type="dxa" w:w="110"/>
              <w:bottom w:type="dxa" w:w="90"/>
              <w:right w:type="dxa" w:w="110"/>
            </w:tcMar>
            <w:vAlign w:val="center"/>
          </w:tcPr>
          <w:p>
            <w:r>
              <w:rPr>
                <w:b w:val="false"/>
                <w:bCs w:val="false"/>
                <w:color w:val="1A1A1A"/>
                <w:sz w:val="19"/>
                <w:szCs w:val="19"/>
              </w:rPr>
              <w:t xml:space="preserve">Contact Us, Terms of Service, Privacy Policy; the age-gate and guardian-consent capture flow specified in full in Section 8</w:t>
            </w:r>
          </w:p>
        </w:tc>
      </w:tr>
    </w:tbl>
    <w:p>
      <w:pPr>
        <w:pStyle w:val="Heading2"/>
        <w:spacing w:after="160" w:before="320"/>
      </w:pPr>
      <w:r>
        <w:t xml:space="preserve">2.2 OUT — explicitly deferred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50"/>
        <w:gridCol w:w="1900"/>
        <w:gridCol w:w="4000"/>
      </w:tblGrid>
      <w:tr>
        <w:trPr>
          <w:tblHeader/>
        </w:trPr>
        <w:tc>
          <w:tcPr>
            <w:tcW w:type="dxa" w:w="3450"/>
            <w:shd w:fill="12213A" w:val="clear"/>
            <w:tcMar>
              <w:top w:type="dxa" w:w="90"/>
              <w:left w:type="dxa" w:w="110"/>
              <w:bottom w:type="dxa" w:w="90"/>
              <w:right w:type="dxa" w:w="110"/>
            </w:tcMar>
            <w:vAlign w:val="center"/>
          </w:tcPr>
          <w:p>
            <w:r>
              <w:rPr>
                <w:b/>
                <w:bCs/>
                <w:color w:val="FFFFFF"/>
                <w:sz w:val="19"/>
                <w:szCs w:val="19"/>
              </w:rPr>
              <w:t xml:space="preserve">Feature</w:t>
            </w:r>
          </w:p>
        </w:tc>
        <w:tc>
          <w:tcPr>
            <w:tcW w:type="dxa" w:w="1900"/>
            <w:shd w:fill="12213A" w:val="clear"/>
            <w:tcMar>
              <w:top w:type="dxa" w:w="90"/>
              <w:left w:type="dxa" w:w="110"/>
              <w:bottom w:type="dxa" w:w="90"/>
              <w:right w:type="dxa" w:w="110"/>
            </w:tcMar>
            <w:vAlign w:val="center"/>
          </w:tcPr>
          <w:p>
            <w:r>
              <w:rPr>
                <w:b/>
                <w:bCs/>
                <w:color w:val="FFFFFF"/>
                <w:sz w:val="19"/>
                <w:szCs w:val="19"/>
              </w:rPr>
              <w:t xml:space="preserve">Deferred to</w:t>
            </w:r>
          </w:p>
        </w:tc>
        <w:tc>
          <w:tcPr>
            <w:tcW w:type="dxa" w:w="4000"/>
            <w:shd w:fill="12213A" w:val="clear"/>
            <w:tcMar>
              <w:top w:type="dxa" w:w="90"/>
              <w:left w:type="dxa" w:w="110"/>
              <w:bottom w:type="dxa" w:w="90"/>
              <w:right w:type="dxa" w:w="110"/>
            </w:tcMar>
            <w:vAlign w:val="center"/>
          </w:tcPr>
          <w:p>
            <w:r>
              <w:rPr>
                <w:b/>
                <w:bCs/>
                <w:color w:val="FFFFFF"/>
                <w:sz w:val="19"/>
                <w:szCs w:val="19"/>
              </w:rPr>
              <w:t xml:space="preserve">Why</w:t>
            </w:r>
          </w:p>
        </w:tc>
      </w:tr>
      <w:tr>
        <w:tc>
          <w:tcPr>
            <w:tcW w:type="dxa" w:w="3450"/>
            <w:shd w:fill="FFFFFF" w:val="clear"/>
            <w:tcMar>
              <w:top w:type="dxa" w:w="90"/>
              <w:left w:type="dxa" w:w="110"/>
              <w:bottom w:type="dxa" w:w="90"/>
              <w:right w:type="dxa" w:w="110"/>
            </w:tcMar>
            <w:vAlign w:val="center"/>
          </w:tcPr>
          <w:p>
            <w:r>
              <w:rPr>
                <w:b w:val="false"/>
                <w:bCs w:val="false"/>
                <w:color w:val="1A1A1A"/>
                <w:sz w:val="19"/>
                <w:szCs w:val="19"/>
              </w:rPr>
              <w:t xml:space="preserve">Discover / AI Scouting (Combine, Talent Passport, Score, Scout/Club CRM, video analysis, anti-fraud)</w:t>
            </w:r>
          </w:p>
        </w:tc>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Phase 2 (Log Book V2)</w:t>
            </w:r>
          </w:p>
        </w:tc>
        <w:tc>
          <w:tcPr>
            <w:tcW w:type="dxa" w:w="4000"/>
            <w:shd w:fill="FFFFFF" w:val="clear"/>
            <w:tcMar>
              <w:top w:type="dxa" w:w="90"/>
              <w:left w:type="dxa" w:w="110"/>
              <w:bottom w:type="dxa" w:w="90"/>
              <w:right w:type="dxa" w:w="110"/>
            </w:tcMar>
            <w:vAlign w:val="center"/>
          </w:tcPr>
          <w:p>
            <w:r>
              <w:rPr>
                <w:b w:val="false"/>
                <w:bCs w:val="false"/>
                <w:color w:val="1A1A1A"/>
                <w:sz w:val="19"/>
                <w:szCs w:val="19"/>
              </w:rPr>
              <w:t xml:space="preserve">Log Book Section 20 explicitly avoids competing on AI scouting until Soccernity has its own dataset and credibility; building it now would contradict the entry strategy</w:t>
            </w:r>
          </w:p>
        </w:tc>
      </w:tr>
      <w:tr>
        <w:tc>
          <w:tcPr>
            <w:tcW w:type="dxa" w:w="3450"/>
            <w:shd w:fill="EFF3EE" w:val="clear"/>
            <w:tcMar>
              <w:top w:type="dxa" w:w="90"/>
              <w:left w:type="dxa" w:w="110"/>
              <w:bottom w:type="dxa" w:w="90"/>
              <w:right w:type="dxa" w:w="110"/>
            </w:tcMar>
            <w:vAlign w:val="center"/>
          </w:tcPr>
          <w:p>
            <w:r>
              <w:rPr>
                <w:b w:val="false"/>
                <w:bCs w:val="false"/>
                <w:color w:val="1A1A1A"/>
                <w:sz w:val="19"/>
                <w:szCs w:val="19"/>
              </w:rPr>
              <w:t xml:space="preserve">Careers &amp; Academy (job board, certification, Academy Marketplace, mentorship)</w:t>
            </w:r>
          </w:p>
        </w:tc>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Phase 2–3 (Log Book V1–V2)</w:t>
            </w:r>
          </w:p>
        </w:tc>
        <w:tc>
          <w:tcPr>
            <w:tcW w:type="dxa" w:w="4000"/>
            <w:shd w:fill="EFF3EE" w:val="clear"/>
            <w:tcMar>
              <w:top w:type="dxa" w:w="90"/>
              <w:left w:type="dxa" w:w="110"/>
              <w:bottom w:type="dxa" w:w="90"/>
              <w:right w:type="dxa" w:w="110"/>
            </w:tcMar>
            <w:vAlign w:val="center"/>
          </w:tcPr>
          <w:p>
            <w:r>
              <w:rPr>
                <w:b w:val="false"/>
                <w:bCs w:val="false"/>
                <w:color w:val="1A1A1A"/>
                <w:sz w:val="19"/>
                <w:szCs w:val="19"/>
              </w:rPr>
              <w:t xml:space="preserve">Zero screens exist yet (Log Book Section 23.3); needs its own design pass before engineering</w:t>
            </w:r>
          </w:p>
        </w:tc>
      </w:tr>
      <w:tr>
        <w:tc>
          <w:tcPr>
            <w:tcW w:type="dxa" w:w="3450"/>
            <w:shd w:fill="FFFFFF" w:val="clear"/>
            <w:tcMar>
              <w:top w:type="dxa" w:w="90"/>
              <w:left w:type="dxa" w:w="110"/>
              <w:bottom w:type="dxa" w:w="90"/>
              <w:right w:type="dxa" w:w="110"/>
            </w:tcMar>
            <w:vAlign w:val="center"/>
          </w:tcPr>
          <w:p>
            <w:r>
              <w:rPr>
                <w:b w:val="false"/>
                <w:bCs w:val="false"/>
                <w:color w:val="1A1A1A"/>
                <w:sz w:val="19"/>
                <w:szCs w:val="19"/>
              </w:rPr>
              <w:t xml:space="preserve">Prediction &amp; commentary challenges, AI Tactical Simulator/Twin</w:t>
            </w:r>
          </w:p>
        </w:tc>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Phase 2</w:t>
            </w:r>
          </w:p>
        </w:tc>
        <w:tc>
          <w:tcPr>
            <w:tcW w:type="dxa" w:w="4000"/>
            <w:shd w:fill="FFFFFF" w:val="clear"/>
            <w:tcMar>
              <w:top w:type="dxa" w:w="90"/>
              <w:left w:type="dxa" w:w="110"/>
              <w:bottom w:type="dxa" w:w="90"/>
              <w:right w:type="dxa" w:w="110"/>
            </w:tcMar>
            <w:vAlign w:val="center"/>
          </w:tcPr>
          <w:p>
            <w:r>
              <w:rPr>
                <w:b w:val="false"/>
                <w:bCs w:val="false"/>
                <w:color w:val="1A1A1A"/>
                <w:sz w:val="19"/>
                <w:szCs w:val="19"/>
              </w:rPr>
              <w:t xml:space="preserve">The board's “Contest” section is an empty placeholder (Log Book Section 23.3); no design work to build from</w:t>
            </w:r>
          </w:p>
        </w:tc>
      </w:tr>
      <w:tr>
        <w:tc>
          <w:tcPr>
            <w:tcW w:type="dxa" w:w="3450"/>
            <w:shd w:fill="EFF3EE" w:val="clear"/>
            <w:tcMar>
              <w:top w:type="dxa" w:w="90"/>
              <w:left w:type="dxa" w:w="110"/>
              <w:bottom w:type="dxa" w:w="90"/>
              <w:right w:type="dxa" w:w="110"/>
            </w:tcMar>
            <w:vAlign w:val="center"/>
          </w:tcPr>
          <w:p>
            <w:r>
              <w:rPr>
                <w:b w:val="false"/>
                <w:bCs w:val="false"/>
                <w:color w:val="1A1A1A"/>
                <w:sz w:val="19"/>
                <w:szCs w:val="19"/>
              </w:rPr>
              <w:t xml:space="preserve">Rewards economy beyond the basic leaderboard (points, badges, any token mechanic)</w:t>
            </w:r>
          </w:p>
        </w:tc>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Phase 2</w:t>
            </w:r>
          </w:p>
        </w:tc>
        <w:tc>
          <w:tcPr>
            <w:tcW w:type="dxa" w:w="4000"/>
            <w:shd w:fill="EFF3EE" w:val="clear"/>
            <w:tcMar>
              <w:top w:type="dxa" w:w="90"/>
              <w:left w:type="dxa" w:w="110"/>
              <w:bottom w:type="dxa" w:w="90"/>
              <w:right w:type="dxa" w:w="110"/>
            </w:tcMar>
            <w:vAlign w:val="center"/>
          </w:tcPr>
          <w:p>
            <w:r>
              <w:rPr>
                <w:b w:val="false"/>
                <w:bCs w:val="false"/>
                <w:color w:val="1A1A1A"/>
                <w:sz w:val="19"/>
                <w:szCs w:val="19"/>
              </w:rPr>
              <w:t xml:space="preserve">Log Book Section 21 flags any token mechanic as needing legal review before being built at all</w:t>
            </w:r>
          </w:p>
        </w:tc>
      </w:tr>
      <w:tr>
        <w:tc>
          <w:tcPr>
            <w:tcW w:type="dxa" w:w="3450"/>
            <w:shd w:fill="FFFFFF" w:val="clear"/>
            <w:tcMar>
              <w:top w:type="dxa" w:w="90"/>
              <w:left w:type="dxa" w:w="110"/>
              <w:bottom w:type="dxa" w:w="90"/>
              <w:right w:type="dxa" w:w="110"/>
            </w:tcMar>
            <w:vAlign w:val="center"/>
          </w:tcPr>
          <w:p>
            <w:r>
              <w:rPr>
                <w:b w:val="false"/>
                <w:bCs w:val="false"/>
                <w:color w:val="1A1A1A"/>
                <w:sz w:val="19"/>
                <w:szCs w:val="19"/>
              </w:rPr>
              <w:t xml:space="preserve">Payment &amp; subscription / premium tiers</w:t>
            </w:r>
          </w:p>
        </w:tc>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Phase 2</w:t>
            </w:r>
          </w:p>
        </w:tc>
        <w:tc>
          <w:tcPr>
            <w:tcW w:type="dxa" w:w="4000"/>
            <w:shd w:fill="FFFFFF" w:val="clear"/>
            <w:tcMar>
              <w:top w:type="dxa" w:w="90"/>
              <w:left w:type="dxa" w:w="110"/>
              <w:bottom w:type="dxa" w:w="90"/>
              <w:right w:type="dxa" w:w="110"/>
            </w:tcMar>
            <w:vAlign w:val="center"/>
          </w:tcPr>
          <w:p>
            <w:r>
              <w:rPr>
                <w:b w:val="false"/>
                <w:bCs w:val="false"/>
                <w:color w:val="1A1A1A"/>
                <w:sz w:val="19"/>
                <w:szCs w:val="19"/>
              </w:rPr>
              <w:t xml:space="preserve">No monetisation need before the beachhead community has real engagement to monetise</w:t>
            </w:r>
          </w:p>
        </w:tc>
      </w:tr>
      <w:tr>
        <w:tc>
          <w:tcPr>
            <w:tcW w:type="dxa" w:w="3450"/>
            <w:shd w:fill="EFF3EE" w:val="clear"/>
            <w:tcMar>
              <w:top w:type="dxa" w:w="90"/>
              <w:left w:type="dxa" w:w="110"/>
              <w:bottom w:type="dxa" w:w="90"/>
              <w:right w:type="dxa" w:w="110"/>
            </w:tcMar>
            <w:vAlign w:val="center"/>
          </w:tcPr>
          <w:p>
            <w:r>
              <w:rPr>
                <w:b w:val="false"/>
                <w:bCs w:val="false"/>
                <w:color w:val="1A1A1A"/>
                <w:sz w:val="19"/>
                <w:szCs w:val="19"/>
              </w:rPr>
              <w:t xml:space="preserve">Vlog/podcast content type</w:t>
            </w:r>
          </w:p>
        </w:tc>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Phase 2</w:t>
            </w:r>
          </w:p>
        </w:tc>
        <w:tc>
          <w:tcPr>
            <w:tcW w:type="dxa" w:w="4000"/>
            <w:shd w:fill="EFF3EE" w:val="clear"/>
            <w:tcMar>
              <w:top w:type="dxa" w:w="90"/>
              <w:left w:type="dxa" w:w="110"/>
              <w:bottom w:type="dxa" w:w="90"/>
              <w:right w:type="dxa" w:w="110"/>
            </w:tcMar>
            <w:vAlign w:val="center"/>
          </w:tcPr>
          <w:p>
            <w:r>
              <w:rPr>
                <w:b w:val="false"/>
                <w:bCs w:val="false"/>
                <w:color w:val="1A1A1A"/>
                <w:sz w:val="19"/>
                <w:szCs w:val="19"/>
              </w:rPr>
              <w:t xml:space="preserve">Blog covers the news/content need for launch; audio/video content hub is additive, not blocking</w:t>
            </w:r>
          </w:p>
        </w:tc>
      </w:tr>
      <w:tr>
        <w:tc>
          <w:tcPr>
            <w:tcW w:type="dxa" w:w="3450"/>
            <w:shd w:fill="FFFFFF" w:val="clear"/>
            <w:tcMar>
              <w:top w:type="dxa" w:w="90"/>
              <w:left w:type="dxa" w:w="110"/>
              <w:bottom w:type="dxa" w:w="90"/>
              <w:right w:type="dxa" w:w="110"/>
            </w:tcMar>
            <w:vAlign w:val="center"/>
          </w:tcPr>
          <w:p>
            <w:r>
              <w:rPr>
                <w:b w:val="false"/>
                <w:bCs w:val="false"/>
                <w:color w:val="1A1A1A"/>
                <w:sz w:val="19"/>
                <w:szCs w:val="19"/>
              </w:rPr>
              <w:t xml:space="preserve">Multi-language UI, full offline mode</w:t>
            </w:r>
          </w:p>
        </w:tc>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Phase 2 (technical practices still apply — see Section 5.5)</w:t>
            </w:r>
          </w:p>
        </w:tc>
        <w:tc>
          <w:tcPr>
            <w:tcW w:type="dxa" w:w="4000"/>
            <w:shd w:fill="FFFFFF" w:val="clear"/>
            <w:tcMar>
              <w:top w:type="dxa" w:w="90"/>
              <w:left w:type="dxa" w:w="110"/>
              <w:bottom w:type="dxa" w:w="90"/>
              <w:right w:type="dxa" w:w="110"/>
            </w:tcMar>
            <w:vAlign w:val="center"/>
          </w:tcPr>
          <w:p>
            <w:r>
              <w:rPr>
                <w:b w:val="false"/>
                <w:bCs w:val="false"/>
                <w:color w:val="1A1A1A"/>
                <w:sz w:val="19"/>
                <w:szCs w:val="19"/>
              </w:rPr>
              <w:t xml:space="preserve">The language selector component exists in Figma but is unwired; low-bandwidth engineering discipline is cheaper to build in from day one than to retrofit, so that discipline is a Section 5 requirement even though the full feature ships later</w:t>
            </w:r>
          </w:p>
        </w:tc>
      </w:tr>
    </w:tbl>
    <w:p>
      <w:pPr>
        <w:spacing w:after="160" w:line="276"/>
      </w:pPr>
      <w:r>
        <w:t xml:space="preserve">Target: a working, launchable MVP in a single beachhead city, in roughly 13 weeks including a one-week setup sprint — see Section 6 for the week-by-week plan.</w:t>
      </w:r>
    </w:p>
    <w:p>
      <w:r>
        <w:br w:type="page"/>
      </w:r>
    </w:p>
    <w:p>
      <w:pPr>
        <w:pStyle w:val="Heading1"/>
        <w:spacing w:after="240" w:before="480"/>
      </w:pPr>
      <w:r>
        <w:rPr>
          <w:color w:val="C99A2E"/>
        </w:rPr>
        <w:t xml:space="preserve">3  </w:t>
      </w:r>
      <w:r>
        <w:t xml:space="preserve">Data Model</w:t>
      </w:r>
    </w:p>
    <w:p>
      <w:pPr>
        <w:spacing w:after="160" w:line="276"/>
      </w:pPr>
      <w:r>
        <w:t xml:space="preserve">Core entities for MVP v1. Field lists are the minimum needed to build against, not a full schema — add columns as implementation requires, but do not remove the safeguarding-related fields on User and Guardian without updating Section 8.</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3250"/>
      </w:tblGrid>
      <w:tr>
        <w:trPr>
          <w:tblHeader/>
        </w:trPr>
        <w:tc>
          <w:tcPr>
            <w:tcW w:type="dxa" w:w="1900"/>
            <w:shd w:fill="12213A" w:val="clear"/>
            <w:tcMar>
              <w:top w:type="dxa" w:w="90"/>
              <w:left w:type="dxa" w:w="110"/>
              <w:bottom w:type="dxa" w:w="90"/>
              <w:right w:type="dxa" w:w="110"/>
            </w:tcMar>
            <w:vAlign w:val="center"/>
          </w:tcPr>
          <w:p>
            <w:r>
              <w:rPr>
                <w:b/>
                <w:bCs/>
                <w:color w:val="FFFFFF"/>
                <w:sz w:val="19"/>
                <w:szCs w:val="19"/>
              </w:rPr>
              <w:t xml:space="preserve">Entity</w:t>
            </w:r>
          </w:p>
        </w:tc>
        <w:tc>
          <w:tcPr>
            <w:tcW w:type="dxa" w:w="4200"/>
            <w:shd w:fill="12213A" w:val="clear"/>
            <w:tcMar>
              <w:top w:type="dxa" w:w="90"/>
              <w:left w:type="dxa" w:w="110"/>
              <w:bottom w:type="dxa" w:w="90"/>
              <w:right w:type="dxa" w:w="110"/>
            </w:tcMar>
            <w:vAlign w:val="center"/>
          </w:tcPr>
          <w:p>
            <w:r>
              <w:rPr>
                <w:b/>
                <w:bCs/>
                <w:color w:val="FFFFFF"/>
                <w:sz w:val="19"/>
                <w:szCs w:val="19"/>
              </w:rPr>
              <w:t xml:space="preserve">Key fields</w:t>
            </w:r>
          </w:p>
        </w:tc>
        <w:tc>
          <w:tcPr>
            <w:tcW w:type="dxa" w:w="3250"/>
            <w:shd w:fill="12213A" w:val="clear"/>
            <w:tcMar>
              <w:top w:type="dxa" w:w="90"/>
              <w:left w:type="dxa" w:w="110"/>
              <w:bottom w:type="dxa" w:w="90"/>
              <w:right w:type="dxa" w:w="110"/>
            </w:tcMar>
            <w:vAlign w:val="center"/>
          </w:tcPr>
          <w:p>
            <w:r>
              <w:rPr>
                <w:b/>
                <w:bCs/>
                <w:color w:val="FFFFFF"/>
                <w:sz w:val="19"/>
                <w:szCs w:val="19"/>
              </w:rPr>
              <w:t xml:space="preserve">Relationships</w:t>
            </w:r>
          </w:p>
        </w:tc>
      </w:tr>
      <w:tr>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User</w:t>
            </w:r>
          </w:p>
        </w:tc>
        <w:tc>
          <w:tcPr>
            <w:tcW w:type="dxa" w:w="4200"/>
            <w:shd w:fill="FFFFFF" w:val="clear"/>
            <w:tcMar>
              <w:top w:type="dxa" w:w="90"/>
              <w:left w:type="dxa" w:w="110"/>
              <w:bottom w:type="dxa" w:w="90"/>
              <w:right w:type="dxa" w:w="110"/>
            </w:tcMar>
            <w:vAlign w:val="center"/>
          </w:tcPr>
          <w:p>
            <w:r>
              <w:rPr>
                <w:b w:val="false"/>
                <w:bCs w:val="false"/>
                <w:color w:val="1A1A1A"/>
                <w:sz w:val="19"/>
                <w:szCs w:val="19"/>
              </w:rPr>
              <w:t xml:space="preserve">id, email, phone, password_hash, display_name, date_of_birth, is_minor, guardian_id (nullable), club_affiliation_id (nullable), role, verification_status, created_at</w:t>
            </w:r>
          </w:p>
        </w:tc>
        <w:tc>
          <w:tcPr>
            <w:tcW w:type="dxa" w:w="3250"/>
            <w:shd w:fill="FFFFFF" w:val="clear"/>
            <w:tcMar>
              <w:top w:type="dxa" w:w="90"/>
              <w:left w:type="dxa" w:w="110"/>
              <w:bottom w:type="dxa" w:w="90"/>
              <w:right w:type="dxa" w:w="110"/>
            </w:tcMar>
            <w:vAlign w:val="center"/>
          </w:tcPr>
          <w:p>
            <w:r>
              <w:rPr>
                <w:b w:val="false"/>
                <w:bCs w:val="false"/>
                <w:color w:val="1A1A1A"/>
                <w:sz w:val="19"/>
                <w:szCs w:val="19"/>
              </w:rPr>
              <w:t xml:space="preserve">has one Guardian (if minor); belongs to one ClubPage; has many Posts, Follows, SavedPosts</w:t>
            </w:r>
          </w:p>
        </w:tc>
      </w:tr>
      <w:tr>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Guardian</w:t>
            </w:r>
          </w:p>
        </w:tc>
        <w:tc>
          <w:tcPr>
            <w:tcW w:type="dxa" w:w="4200"/>
            <w:shd w:fill="EFF3EE" w:val="clear"/>
            <w:tcMar>
              <w:top w:type="dxa" w:w="90"/>
              <w:left w:type="dxa" w:w="110"/>
              <w:bottom w:type="dxa" w:w="90"/>
              <w:right w:type="dxa" w:w="110"/>
            </w:tcMar>
            <w:vAlign w:val="center"/>
          </w:tcPr>
          <w:p>
            <w:r>
              <w:rPr>
                <w:b w:val="false"/>
                <w:bCs w:val="false"/>
                <w:color w:val="1A1A1A"/>
                <w:sz w:val="19"/>
                <w:szCs w:val="19"/>
              </w:rPr>
              <w:t xml:space="preserve">id, minor_user_id, name, email, relationship, consent_status, consent_token, consent_timestamp</w:t>
            </w:r>
          </w:p>
        </w:tc>
        <w:tc>
          <w:tcPr>
            <w:tcW w:type="dxa" w:w="3250"/>
            <w:shd w:fill="EFF3EE" w:val="clear"/>
            <w:tcMar>
              <w:top w:type="dxa" w:w="90"/>
              <w:left w:type="dxa" w:w="110"/>
              <w:bottom w:type="dxa" w:w="90"/>
              <w:right w:type="dxa" w:w="110"/>
            </w:tcMar>
            <w:vAlign w:val="center"/>
          </w:tcPr>
          <w:p>
            <w:r>
              <w:rPr>
                <w:b w:val="false"/>
                <w:bCs w:val="false"/>
                <w:color w:val="1A1A1A"/>
                <w:sz w:val="19"/>
                <w:szCs w:val="19"/>
              </w:rPr>
              <w:t xml:space="preserve">belongs to one minor User — see Section 8.3 for the full consent flow this supports</w:t>
            </w:r>
          </w:p>
        </w:tc>
      </w:tr>
      <w:tr>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ClubPage</w:t>
            </w:r>
          </w:p>
        </w:tc>
        <w:tc>
          <w:tcPr>
            <w:tcW w:type="dxa" w:w="4200"/>
            <w:shd w:fill="FFFFFF" w:val="clear"/>
            <w:tcMar>
              <w:top w:type="dxa" w:w="90"/>
              <w:left w:type="dxa" w:w="110"/>
              <w:bottom w:type="dxa" w:w="90"/>
              <w:right w:type="dxa" w:w="110"/>
            </w:tcMar>
            <w:vAlign w:val="center"/>
          </w:tcPr>
          <w:p>
            <w:r>
              <w:rPr>
                <w:b w:val="false"/>
                <w:bCs w:val="false"/>
                <w:color w:val="1A1A1A"/>
                <w:sz w:val="19"/>
                <w:szCs w:val="19"/>
              </w:rPr>
              <w:t xml:space="preserve">id, name, league, country, logo_url, member_count</w:t>
            </w:r>
          </w:p>
        </w:tc>
        <w:tc>
          <w:tcPr>
            <w:tcW w:type="dxa" w:w="3250"/>
            <w:shd w:fill="FFFFFF" w:val="clear"/>
            <w:tcMar>
              <w:top w:type="dxa" w:w="90"/>
              <w:left w:type="dxa" w:w="110"/>
              <w:bottom w:type="dxa" w:w="90"/>
              <w:right w:type="dxa" w:w="110"/>
            </w:tcMar>
            <w:vAlign w:val="center"/>
          </w:tcPr>
          <w:p>
            <w:r>
              <w:rPr>
                <w:b w:val="false"/>
                <w:bCs w:val="false"/>
                <w:color w:val="1A1A1A"/>
                <w:sz w:val="19"/>
                <w:szCs w:val="19"/>
              </w:rPr>
              <w:t xml:space="preserve">has many Users (members); has many Posts</w:t>
            </w:r>
          </w:p>
        </w:tc>
      </w:tr>
      <w:tr>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GrassrootsTeam</w:t>
            </w:r>
          </w:p>
        </w:tc>
        <w:tc>
          <w:tcPr>
            <w:tcW w:type="dxa" w:w="4200"/>
            <w:shd w:fill="EFF3EE" w:val="clear"/>
            <w:tcMar>
              <w:top w:type="dxa" w:w="90"/>
              <w:left w:type="dxa" w:w="110"/>
              <w:bottom w:type="dxa" w:w="90"/>
              <w:right w:type="dxa" w:w="110"/>
            </w:tcMar>
            <w:vAlign w:val="center"/>
          </w:tcPr>
          <w:p>
            <w:r>
              <w:rPr>
                <w:b w:val="false"/>
                <w:bCs w:val="false"/>
                <w:color w:val="1A1A1A"/>
                <w:sz w:val="19"/>
                <w:szCs w:val="19"/>
              </w:rPr>
              <w:t xml:space="preserve">id, name, city, league_type, created_by_user_id, verified</w:t>
            </w:r>
          </w:p>
        </w:tc>
        <w:tc>
          <w:tcPr>
            <w:tcW w:type="dxa" w:w="3250"/>
            <w:shd w:fill="EFF3EE" w:val="clear"/>
            <w:tcMar>
              <w:top w:type="dxa" w:w="90"/>
              <w:left w:type="dxa" w:w="110"/>
              <w:bottom w:type="dxa" w:w="90"/>
              <w:right w:type="dxa" w:w="110"/>
            </w:tcMar>
            <w:vAlign w:val="center"/>
          </w:tcPr>
          <w:p>
            <w:r>
              <w:rPr>
                <w:b w:val="false"/>
                <w:bCs w:val="false"/>
                <w:color w:val="1A1A1A"/>
                <w:sz w:val="19"/>
                <w:szCs w:val="19"/>
              </w:rPr>
              <w:t xml:space="preserve">has many Fixtures; created by one User</w:t>
            </w:r>
          </w:p>
        </w:tc>
      </w:tr>
      <w:tr>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Fixture</w:t>
            </w:r>
          </w:p>
        </w:tc>
        <w:tc>
          <w:tcPr>
            <w:tcW w:type="dxa" w:w="4200"/>
            <w:shd w:fill="FFFFFF" w:val="clear"/>
            <w:tcMar>
              <w:top w:type="dxa" w:w="90"/>
              <w:left w:type="dxa" w:w="110"/>
              <w:bottom w:type="dxa" w:w="90"/>
              <w:right w:type="dxa" w:w="110"/>
            </w:tcMar>
            <w:vAlign w:val="center"/>
          </w:tcPr>
          <w:p>
            <w:r>
              <w:rPr>
                <w:b w:val="false"/>
                <w:bCs w:val="false"/>
                <w:color w:val="1A1A1A"/>
                <w:sz w:val="19"/>
                <w:szCs w:val="19"/>
              </w:rPr>
              <w:t xml:space="preserve">id, team_a_id, team_b_id (nullable), scheduled_at, venue, status</w:t>
            </w:r>
          </w:p>
        </w:tc>
        <w:tc>
          <w:tcPr>
            <w:tcW w:type="dxa" w:w="3250"/>
            <w:shd w:fill="FFFFFF" w:val="clear"/>
            <w:tcMar>
              <w:top w:type="dxa" w:w="90"/>
              <w:left w:type="dxa" w:w="110"/>
              <w:bottom w:type="dxa" w:w="90"/>
              <w:right w:type="dxa" w:w="110"/>
            </w:tcMar>
            <w:vAlign w:val="center"/>
          </w:tcPr>
          <w:p>
            <w:r>
              <w:rPr>
                <w:b w:val="false"/>
                <w:bCs w:val="false"/>
                <w:color w:val="1A1A1A"/>
                <w:sz w:val="19"/>
                <w:szCs w:val="19"/>
              </w:rPr>
              <w:t xml:space="preserve">belongs to GrassrootsTeam(s); has one Result</w:t>
            </w:r>
          </w:p>
        </w:tc>
      </w:tr>
      <w:tr>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Result</w:t>
            </w:r>
          </w:p>
        </w:tc>
        <w:tc>
          <w:tcPr>
            <w:tcW w:type="dxa" w:w="4200"/>
            <w:shd w:fill="EFF3EE" w:val="clear"/>
            <w:tcMar>
              <w:top w:type="dxa" w:w="90"/>
              <w:left w:type="dxa" w:w="110"/>
              <w:bottom w:type="dxa" w:w="90"/>
              <w:right w:type="dxa" w:w="110"/>
            </w:tcMar>
            <w:vAlign w:val="center"/>
          </w:tcPr>
          <w:p>
            <w:r>
              <w:rPr>
                <w:b w:val="false"/>
                <w:bCs w:val="false"/>
                <w:color w:val="1A1A1A"/>
                <w:sz w:val="19"/>
                <w:szCs w:val="19"/>
              </w:rPr>
              <w:t xml:space="preserve">id, fixture_id, score_a, score_b, entered_by_user_id, entered_at</w:t>
            </w:r>
          </w:p>
        </w:tc>
        <w:tc>
          <w:tcPr>
            <w:tcW w:type="dxa" w:w="3250"/>
            <w:shd w:fill="EFF3EE" w:val="clear"/>
            <w:tcMar>
              <w:top w:type="dxa" w:w="90"/>
              <w:left w:type="dxa" w:w="110"/>
              <w:bottom w:type="dxa" w:w="90"/>
              <w:right w:type="dxa" w:w="110"/>
            </w:tcMar>
            <w:vAlign w:val="center"/>
          </w:tcPr>
          <w:p>
            <w:r>
              <w:rPr>
                <w:b w:val="false"/>
                <w:bCs w:val="false"/>
                <w:color w:val="1A1A1A"/>
                <w:sz w:val="19"/>
                <w:szCs w:val="19"/>
              </w:rPr>
              <w:t xml:space="preserve">belongs to one Fixture</w:t>
            </w:r>
          </w:p>
        </w:tc>
      </w:tr>
      <w:tr>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Post</w:t>
            </w:r>
          </w:p>
        </w:tc>
        <w:tc>
          <w:tcPr>
            <w:tcW w:type="dxa" w:w="4200"/>
            <w:shd w:fill="FFFFFF" w:val="clear"/>
            <w:tcMar>
              <w:top w:type="dxa" w:w="90"/>
              <w:left w:type="dxa" w:w="110"/>
              <w:bottom w:type="dxa" w:w="90"/>
              <w:right w:type="dxa" w:w="110"/>
            </w:tcMar>
            <w:vAlign w:val="center"/>
          </w:tcPr>
          <w:p>
            <w:r>
              <w:rPr>
                <w:b w:val="false"/>
                <w:bCs w:val="false"/>
                <w:color w:val="1A1A1A"/>
                <w:sz w:val="19"/>
                <w:szCs w:val="19"/>
              </w:rPr>
              <w:t xml:space="preserve">id, author_id, content_text, media_urls[], club_page_id (nullable), banter_room_id (nullable), like_count, comment_count, created_at</w:t>
            </w:r>
          </w:p>
        </w:tc>
        <w:tc>
          <w:tcPr>
            <w:tcW w:type="dxa" w:w="3250"/>
            <w:shd w:fill="FFFFFF" w:val="clear"/>
            <w:tcMar>
              <w:top w:type="dxa" w:w="90"/>
              <w:left w:type="dxa" w:w="110"/>
              <w:bottom w:type="dxa" w:w="90"/>
              <w:right w:type="dxa" w:w="110"/>
            </w:tcMar>
            <w:vAlign w:val="center"/>
          </w:tcPr>
          <w:p>
            <w:r>
              <w:rPr>
                <w:b w:val="false"/>
                <w:bCs w:val="false"/>
                <w:color w:val="1A1A1A"/>
                <w:sz w:val="19"/>
                <w:szCs w:val="19"/>
              </w:rPr>
              <w:t xml:space="preserve">belongs to one User; optionally to one ClubPage or BanterRoom; has many Comments</w:t>
            </w:r>
          </w:p>
        </w:tc>
      </w:tr>
      <w:tr>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Comment</w:t>
            </w:r>
          </w:p>
        </w:tc>
        <w:tc>
          <w:tcPr>
            <w:tcW w:type="dxa" w:w="4200"/>
            <w:shd w:fill="EFF3EE" w:val="clear"/>
            <w:tcMar>
              <w:top w:type="dxa" w:w="90"/>
              <w:left w:type="dxa" w:w="110"/>
              <w:bottom w:type="dxa" w:w="90"/>
              <w:right w:type="dxa" w:w="110"/>
            </w:tcMar>
            <w:vAlign w:val="center"/>
          </w:tcPr>
          <w:p>
            <w:r>
              <w:rPr>
                <w:b w:val="false"/>
                <w:bCs w:val="false"/>
                <w:color w:val="1A1A1A"/>
                <w:sz w:val="19"/>
                <w:szCs w:val="19"/>
              </w:rPr>
              <w:t xml:space="preserve">id, post_id, author_id, content_text, created_at</w:t>
            </w:r>
          </w:p>
        </w:tc>
        <w:tc>
          <w:tcPr>
            <w:tcW w:type="dxa" w:w="3250"/>
            <w:shd w:fill="EFF3EE" w:val="clear"/>
            <w:tcMar>
              <w:top w:type="dxa" w:w="90"/>
              <w:left w:type="dxa" w:w="110"/>
              <w:bottom w:type="dxa" w:w="90"/>
              <w:right w:type="dxa" w:w="110"/>
            </w:tcMar>
            <w:vAlign w:val="center"/>
          </w:tcPr>
          <w:p>
            <w:r>
              <w:rPr>
                <w:b w:val="false"/>
                <w:bCs w:val="false"/>
                <w:color w:val="1A1A1A"/>
                <w:sz w:val="19"/>
                <w:szCs w:val="19"/>
              </w:rPr>
              <w:t xml:space="preserve">belongs to one Post and one User</w:t>
            </w:r>
          </w:p>
        </w:tc>
      </w:tr>
      <w:tr>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BanterRoom</w:t>
            </w:r>
          </w:p>
        </w:tc>
        <w:tc>
          <w:tcPr>
            <w:tcW w:type="dxa" w:w="4200"/>
            <w:shd w:fill="FFFFFF" w:val="clear"/>
            <w:tcMar>
              <w:top w:type="dxa" w:w="90"/>
              <w:left w:type="dxa" w:w="110"/>
              <w:bottom w:type="dxa" w:w="90"/>
              <w:right w:type="dxa" w:w="110"/>
            </w:tcMar>
            <w:vAlign w:val="center"/>
          </w:tcPr>
          <w:p>
            <w:r>
              <w:rPr>
                <w:b w:val="false"/>
                <w:bCs w:val="false"/>
                <w:color w:val="1A1A1A"/>
                <w:sz w:val="19"/>
                <w:szCs w:val="19"/>
              </w:rPr>
              <w:t xml:space="preserve">id, name, scope_type (club/league/country/topic), created_by, member_count</w:t>
            </w:r>
          </w:p>
        </w:tc>
        <w:tc>
          <w:tcPr>
            <w:tcW w:type="dxa" w:w="3250"/>
            <w:shd w:fill="FFFFFF" w:val="clear"/>
            <w:tcMar>
              <w:top w:type="dxa" w:w="90"/>
              <w:left w:type="dxa" w:w="110"/>
              <w:bottom w:type="dxa" w:w="90"/>
              <w:right w:type="dxa" w:w="110"/>
            </w:tcMar>
            <w:vAlign w:val="center"/>
          </w:tcPr>
          <w:p>
            <w:r>
              <w:rPr>
                <w:b w:val="false"/>
                <w:bCs w:val="false"/>
                <w:color w:val="1A1A1A"/>
                <w:sz w:val="19"/>
                <w:szCs w:val="19"/>
              </w:rPr>
              <w:t xml:space="preserve">has many Posts (topics)</w:t>
            </w:r>
          </w:p>
        </w:tc>
      </w:tr>
      <w:tr>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Conversation</w:t>
            </w:r>
          </w:p>
        </w:tc>
        <w:tc>
          <w:tcPr>
            <w:tcW w:type="dxa" w:w="4200"/>
            <w:shd w:fill="EFF3EE" w:val="clear"/>
            <w:tcMar>
              <w:top w:type="dxa" w:w="90"/>
              <w:left w:type="dxa" w:w="110"/>
              <w:bottom w:type="dxa" w:w="90"/>
              <w:right w:type="dxa" w:w="110"/>
            </w:tcMar>
            <w:vAlign w:val="center"/>
          </w:tcPr>
          <w:p>
            <w:r>
              <w:rPr>
                <w:b w:val="false"/>
                <w:bCs w:val="false"/>
                <w:color w:val="1A1A1A"/>
                <w:sz w:val="19"/>
                <w:szCs w:val="19"/>
              </w:rPr>
              <w:t xml:space="preserve">id, participant_ids[], created_at</w:t>
            </w:r>
          </w:p>
        </w:tc>
        <w:tc>
          <w:tcPr>
            <w:tcW w:type="dxa" w:w="3250"/>
            <w:shd w:fill="EFF3EE" w:val="clear"/>
            <w:tcMar>
              <w:top w:type="dxa" w:w="90"/>
              <w:left w:type="dxa" w:w="110"/>
              <w:bottom w:type="dxa" w:w="90"/>
              <w:right w:type="dxa" w:w="110"/>
            </w:tcMar>
            <w:vAlign w:val="center"/>
          </w:tcPr>
          <w:p>
            <w:r>
              <w:rPr>
                <w:b w:val="false"/>
                <w:bCs w:val="false"/>
                <w:color w:val="1A1A1A"/>
                <w:sz w:val="19"/>
                <w:szCs w:val="19"/>
              </w:rPr>
              <w:t xml:space="preserve">has many Messages</w:t>
            </w:r>
          </w:p>
        </w:tc>
      </w:tr>
      <w:tr>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Message</w:t>
            </w:r>
          </w:p>
        </w:tc>
        <w:tc>
          <w:tcPr>
            <w:tcW w:type="dxa" w:w="4200"/>
            <w:shd w:fill="FFFFFF" w:val="clear"/>
            <w:tcMar>
              <w:top w:type="dxa" w:w="90"/>
              <w:left w:type="dxa" w:w="110"/>
              <w:bottom w:type="dxa" w:w="90"/>
              <w:right w:type="dxa" w:w="110"/>
            </w:tcMar>
            <w:vAlign w:val="center"/>
          </w:tcPr>
          <w:p>
            <w:r>
              <w:rPr>
                <w:b w:val="false"/>
                <w:bCs w:val="false"/>
                <w:color w:val="1A1A1A"/>
                <w:sz w:val="19"/>
                <w:szCs w:val="19"/>
              </w:rPr>
              <w:t xml:space="preserve">id, conversation_id, sender_id, content_text, media_url (nullable), sent_at, read_at</w:t>
            </w:r>
          </w:p>
        </w:tc>
        <w:tc>
          <w:tcPr>
            <w:tcW w:type="dxa" w:w="3250"/>
            <w:shd w:fill="FFFFFF" w:val="clear"/>
            <w:tcMar>
              <w:top w:type="dxa" w:w="90"/>
              <w:left w:type="dxa" w:w="110"/>
              <w:bottom w:type="dxa" w:w="90"/>
              <w:right w:type="dxa" w:w="110"/>
            </w:tcMar>
            <w:vAlign w:val="center"/>
          </w:tcPr>
          <w:p>
            <w:r>
              <w:rPr>
                <w:b w:val="false"/>
                <w:bCs w:val="false"/>
                <w:color w:val="1A1A1A"/>
                <w:sz w:val="19"/>
                <w:szCs w:val="19"/>
              </w:rPr>
              <w:t xml:space="preserve">belongs to one Conversation</w:t>
            </w:r>
          </w:p>
        </w:tc>
      </w:tr>
      <w:tr>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Notification</w:t>
            </w:r>
          </w:p>
        </w:tc>
        <w:tc>
          <w:tcPr>
            <w:tcW w:type="dxa" w:w="4200"/>
            <w:shd w:fill="EFF3EE" w:val="clear"/>
            <w:tcMar>
              <w:top w:type="dxa" w:w="90"/>
              <w:left w:type="dxa" w:w="110"/>
              <w:bottom w:type="dxa" w:w="90"/>
              <w:right w:type="dxa" w:w="110"/>
            </w:tcMar>
            <w:vAlign w:val="center"/>
          </w:tcPr>
          <w:p>
            <w:r>
              <w:rPr>
                <w:b w:val="false"/>
                <w:bCs w:val="false"/>
                <w:color w:val="1A1A1A"/>
                <w:sz w:val="19"/>
                <w:szCs w:val="19"/>
              </w:rPr>
              <w:t xml:space="preserve">id, user_id, type, payload_ref_id, read, created_at</w:t>
            </w:r>
          </w:p>
        </w:tc>
        <w:tc>
          <w:tcPr>
            <w:tcW w:type="dxa" w:w="3250"/>
            <w:shd w:fill="EFF3EE" w:val="clear"/>
            <w:tcMar>
              <w:top w:type="dxa" w:w="90"/>
              <w:left w:type="dxa" w:w="110"/>
              <w:bottom w:type="dxa" w:w="90"/>
              <w:right w:type="dxa" w:w="110"/>
            </w:tcMar>
            <w:vAlign w:val="center"/>
          </w:tcPr>
          <w:p>
            <w:r>
              <w:rPr>
                <w:b w:val="false"/>
                <w:bCs w:val="false"/>
                <w:color w:val="1A1A1A"/>
                <w:sz w:val="19"/>
                <w:szCs w:val="19"/>
              </w:rPr>
              <w:t xml:space="preserve">belongs to one User</w:t>
            </w:r>
          </w:p>
        </w:tc>
      </w:tr>
      <w:tr>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SavedPost</w:t>
            </w:r>
          </w:p>
        </w:tc>
        <w:tc>
          <w:tcPr>
            <w:tcW w:type="dxa" w:w="4200"/>
            <w:shd w:fill="FFFFFF" w:val="clear"/>
            <w:tcMar>
              <w:top w:type="dxa" w:w="90"/>
              <w:left w:type="dxa" w:w="110"/>
              <w:bottom w:type="dxa" w:w="90"/>
              <w:right w:type="dxa" w:w="110"/>
            </w:tcMar>
            <w:vAlign w:val="center"/>
          </w:tcPr>
          <w:p>
            <w:r>
              <w:rPr>
                <w:b w:val="false"/>
                <w:bCs w:val="false"/>
                <w:color w:val="1A1A1A"/>
                <w:sz w:val="19"/>
                <w:szCs w:val="19"/>
              </w:rPr>
              <w:t xml:space="preserve">id, user_id, post_id, saved_at</w:t>
            </w:r>
          </w:p>
        </w:tc>
        <w:tc>
          <w:tcPr>
            <w:tcW w:type="dxa" w:w="3250"/>
            <w:shd w:fill="FFFFFF" w:val="clear"/>
            <w:tcMar>
              <w:top w:type="dxa" w:w="90"/>
              <w:left w:type="dxa" w:w="110"/>
              <w:bottom w:type="dxa" w:w="90"/>
              <w:right w:type="dxa" w:w="110"/>
            </w:tcMar>
            <w:vAlign w:val="center"/>
          </w:tcPr>
          <w:p>
            <w:r>
              <w:rPr>
                <w:b w:val="false"/>
                <w:bCs w:val="false"/>
                <w:color w:val="1A1A1A"/>
                <w:sz w:val="19"/>
                <w:szCs w:val="19"/>
              </w:rPr>
              <w:t xml:space="preserve">join table between User and Post</w:t>
            </w:r>
          </w:p>
        </w:tc>
      </w:tr>
      <w:tr>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Follow</w:t>
            </w:r>
          </w:p>
        </w:tc>
        <w:tc>
          <w:tcPr>
            <w:tcW w:type="dxa" w:w="4200"/>
            <w:shd w:fill="EFF3EE" w:val="clear"/>
            <w:tcMar>
              <w:top w:type="dxa" w:w="90"/>
              <w:left w:type="dxa" w:w="110"/>
              <w:bottom w:type="dxa" w:w="90"/>
              <w:right w:type="dxa" w:w="110"/>
            </w:tcMar>
            <w:vAlign w:val="center"/>
          </w:tcPr>
          <w:p>
            <w:r>
              <w:rPr>
                <w:b w:val="false"/>
                <w:bCs w:val="false"/>
                <w:color w:val="1A1A1A"/>
                <w:sz w:val="19"/>
                <w:szCs w:val="19"/>
              </w:rPr>
              <w:t xml:space="preserve">id, follower_id, followee_id</w:t>
            </w:r>
          </w:p>
        </w:tc>
        <w:tc>
          <w:tcPr>
            <w:tcW w:type="dxa" w:w="3250"/>
            <w:shd w:fill="EFF3EE" w:val="clear"/>
            <w:tcMar>
              <w:top w:type="dxa" w:w="90"/>
              <w:left w:type="dxa" w:w="110"/>
              <w:bottom w:type="dxa" w:w="90"/>
              <w:right w:type="dxa" w:w="110"/>
            </w:tcMar>
            <w:vAlign w:val="center"/>
          </w:tcPr>
          <w:p>
            <w:r>
              <w:rPr>
                <w:b w:val="false"/>
                <w:bCs w:val="false"/>
                <w:color w:val="1A1A1A"/>
                <w:sz w:val="19"/>
                <w:szCs w:val="19"/>
              </w:rPr>
              <w:t xml:space="preserve">join table, User to User</w:t>
            </w:r>
          </w:p>
        </w:tc>
      </w:tr>
      <w:tr>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Report</w:t>
            </w:r>
          </w:p>
        </w:tc>
        <w:tc>
          <w:tcPr>
            <w:tcW w:type="dxa" w:w="4200"/>
            <w:shd w:fill="FFFFFF" w:val="clear"/>
            <w:tcMar>
              <w:top w:type="dxa" w:w="90"/>
              <w:left w:type="dxa" w:w="110"/>
              <w:bottom w:type="dxa" w:w="90"/>
              <w:right w:type="dxa" w:w="110"/>
            </w:tcMar>
            <w:vAlign w:val="center"/>
          </w:tcPr>
          <w:p>
            <w:r>
              <w:rPr>
                <w:b w:val="false"/>
                <w:bCs w:val="false"/>
                <w:color w:val="1A1A1A"/>
                <w:sz w:val="19"/>
                <w:szCs w:val="19"/>
              </w:rPr>
              <w:t xml:space="preserve">id, reporter_id, target_type, target_id, reason, status, created_at</w:t>
            </w:r>
          </w:p>
        </w:tc>
        <w:tc>
          <w:tcPr>
            <w:tcW w:type="dxa" w:w="3250"/>
            <w:shd w:fill="FFFFFF" w:val="clear"/>
            <w:tcMar>
              <w:top w:type="dxa" w:w="90"/>
              <w:left w:type="dxa" w:w="110"/>
              <w:bottom w:type="dxa" w:w="90"/>
              <w:right w:type="dxa" w:w="110"/>
            </w:tcMar>
            <w:vAlign w:val="center"/>
          </w:tcPr>
          <w:p>
            <w:r>
              <w:rPr>
                <w:b w:val="false"/>
                <w:bCs w:val="false"/>
                <w:color w:val="1A1A1A"/>
                <w:sz w:val="19"/>
                <w:szCs w:val="19"/>
              </w:rPr>
              <w:t xml:space="preserve">feeds the Admin moderation queue — Section 8.4</w:t>
            </w:r>
          </w:p>
        </w:tc>
      </w:tr>
      <w:tr>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MediaAsset</w:t>
            </w:r>
          </w:p>
        </w:tc>
        <w:tc>
          <w:tcPr>
            <w:tcW w:type="dxa" w:w="4200"/>
            <w:shd w:fill="EFF3EE" w:val="clear"/>
            <w:tcMar>
              <w:top w:type="dxa" w:w="90"/>
              <w:left w:type="dxa" w:w="110"/>
              <w:bottom w:type="dxa" w:w="90"/>
              <w:right w:type="dxa" w:w="110"/>
            </w:tcMar>
            <w:vAlign w:val="center"/>
          </w:tcPr>
          <w:p>
            <w:r>
              <w:rPr>
                <w:b w:val="false"/>
                <w:bCs w:val="false"/>
                <w:color w:val="1A1A1A"/>
                <w:sz w:val="19"/>
                <w:szCs w:val="19"/>
              </w:rPr>
              <w:t xml:space="preserve">id, uploader_id, url, type, size, created_at</w:t>
            </w:r>
          </w:p>
        </w:tc>
        <w:tc>
          <w:tcPr>
            <w:tcW w:type="dxa" w:w="3250"/>
            <w:shd w:fill="EFF3EE" w:val="clear"/>
            <w:tcMar>
              <w:top w:type="dxa" w:w="90"/>
              <w:left w:type="dxa" w:w="110"/>
              <w:bottom w:type="dxa" w:w="90"/>
              <w:right w:type="dxa" w:w="110"/>
            </w:tcMar>
            <w:vAlign w:val="center"/>
          </w:tcPr>
          <w:p>
            <w:r>
              <w:rPr>
                <w:b w:val="false"/>
                <w:bCs w:val="false"/>
                <w:color w:val="1A1A1A"/>
                <w:sz w:val="19"/>
                <w:szCs w:val="19"/>
              </w:rPr>
              <w:t xml:space="preserve">referenced by Post, Article, Profile</w:t>
            </w:r>
          </w:p>
        </w:tc>
      </w:tr>
      <w:tr>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Article</w:t>
            </w:r>
          </w:p>
        </w:tc>
        <w:tc>
          <w:tcPr>
            <w:tcW w:type="dxa" w:w="4200"/>
            <w:shd w:fill="FFFFFF" w:val="clear"/>
            <w:tcMar>
              <w:top w:type="dxa" w:w="90"/>
              <w:left w:type="dxa" w:w="110"/>
              <w:bottom w:type="dxa" w:w="90"/>
              <w:right w:type="dxa" w:w="110"/>
            </w:tcMar>
            <w:vAlign w:val="center"/>
          </w:tcPr>
          <w:p>
            <w:r>
              <w:rPr>
                <w:b w:val="false"/>
                <w:bCs w:val="false"/>
                <w:color w:val="1A1A1A"/>
                <w:sz w:val="19"/>
                <w:szCs w:val="19"/>
              </w:rPr>
              <w:t xml:space="preserve">id, title, body, category_id, author_admin_id, status, published_at</w:t>
            </w:r>
          </w:p>
        </w:tc>
        <w:tc>
          <w:tcPr>
            <w:tcW w:type="dxa" w:w="3250"/>
            <w:shd w:fill="FFFFFF" w:val="clear"/>
            <w:tcMar>
              <w:top w:type="dxa" w:w="90"/>
              <w:left w:type="dxa" w:w="110"/>
              <w:bottom w:type="dxa" w:w="90"/>
              <w:right w:type="dxa" w:w="110"/>
            </w:tcMar>
            <w:vAlign w:val="center"/>
          </w:tcPr>
          <w:p>
            <w:r>
              <w:rPr>
                <w:b w:val="false"/>
                <w:bCs w:val="false"/>
                <w:color w:val="1A1A1A"/>
                <w:sz w:val="19"/>
                <w:szCs w:val="19"/>
              </w:rPr>
              <w:t xml:space="preserve">belongs to one Category; authored by one AdminUser</w:t>
            </w:r>
          </w:p>
        </w:tc>
      </w:tr>
      <w:tr>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Category</w:t>
            </w:r>
          </w:p>
        </w:tc>
        <w:tc>
          <w:tcPr>
            <w:tcW w:type="dxa" w:w="4200"/>
            <w:shd w:fill="EFF3EE" w:val="clear"/>
            <w:tcMar>
              <w:top w:type="dxa" w:w="90"/>
              <w:left w:type="dxa" w:w="110"/>
              <w:bottom w:type="dxa" w:w="90"/>
              <w:right w:type="dxa" w:w="110"/>
            </w:tcMar>
            <w:vAlign w:val="center"/>
          </w:tcPr>
          <w:p>
            <w:r>
              <w:rPr>
                <w:b w:val="false"/>
                <w:bCs w:val="false"/>
                <w:color w:val="1A1A1A"/>
                <w:sz w:val="19"/>
                <w:szCs w:val="19"/>
              </w:rPr>
              <w:t xml:space="preserve">id, name, slug</w:t>
            </w:r>
          </w:p>
        </w:tc>
        <w:tc>
          <w:tcPr>
            <w:tcW w:type="dxa" w:w="3250"/>
            <w:shd w:fill="EFF3EE" w:val="clear"/>
            <w:tcMar>
              <w:top w:type="dxa" w:w="90"/>
              <w:left w:type="dxa" w:w="110"/>
              <w:bottom w:type="dxa" w:w="90"/>
              <w:right w:type="dxa" w:w="110"/>
            </w:tcMar>
            <w:vAlign w:val="center"/>
          </w:tcPr>
          <w:p>
            <w:r>
              <w:rPr>
                <w:b w:val="false"/>
                <w:bCs w:val="false"/>
                <w:color w:val="1A1A1A"/>
                <w:sz w:val="19"/>
                <w:szCs w:val="19"/>
              </w:rPr>
              <w:t xml:space="preserve">has many Articles</w:t>
            </w:r>
          </w:p>
        </w:tc>
      </w:tr>
      <w:tr>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AdminUser</w:t>
            </w:r>
          </w:p>
        </w:tc>
        <w:tc>
          <w:tcPr>
            <w:tcW w:type="dxa" w:w="4200"/>
            <w:shd w:fill="FFFFFF" w:val="clear"/>
            <w:tcMar>
              <w:top w:type="dxa" w:w="90"/>
              <w:left w:type="dxa" w:w="110"/>
              <w:bottom w:type="dxa" w:w="90"/>
              <w:right w:type="dxa" w:w="110"/>
            </w:tcMar>
            <w:vAlign w:val="center"/>
          </w:tcPr>
          <w:p>
            <w:r>
              <w:rPr>
                <w:b w:val="false"/>
                <w:bCs w:val="false"/>
                <w:color w:val="1A1A1A"/>
                <w:sz w:val="19"/>
                <w:szCs w:val="19"/>
              </w:rPr>
              <w:t xml:space="preserve">id, email, role (editor/moderator/superadmin)</w:t>
            </w:r>
          </w:p>
        </w:tc>
        <w:tc>
          <w:tcPr>
            <w:tcW w:type="dxa" w:w="3250"/>
            <w:shd w:fill="FFFFFF" w:val="clear"/>
            <w:tcMar>
              <w:top w:type="dxa" w:w="90"/>
              <w:left w:type="dxa" w:w="110"/>
              <w:bottom w:type="dxa" w:w="90"/>
              <w:right w:type="dxa" w:w="110"/>
            </w:tcMar>
            <w:vAlign w:val="center"/>
          </w:tcPr>
          <w:p>
            <w:r>
              <w:rPr>
                <w:b w:val="false"/>
                <w:bCs w:val="false"/>
                <w:color w:val="1A1A1A"/>
                <w:sz w:val="19"/>
                <w:szCs w:val="19"/>
              </w:rPr>
              <w:t xml:space="preserve">authors Articles; actions Reports</w:t>
            </w:r>
          </w:p>
        </w:tc>
      </w:tr>
      <w:tr>
        <w:tc>
          <w:tcPr>
            <w:tcW w:type="dxa" w:w="1900"/>
            <w:shd w:fill="EFF3EE" w:val="clear"/>
            <w:tcMar>
              <w:top w:type="dxa" w:w="90"/>
              <w:left w:type="dxa" w:w="110"/>
              <w:bottom w:type="dxa" w:w="90"/>
              <w:right w:type="dxa" w:w="110"/>
            </w:tcMar>
            <w:vAlign w:val="center"/>
          </w:tcPr>
          <w:p>
            <w:r>
              <w:rPr>
                <w:b w:val="false"/>
                <w:bCs w:val="false"/>
                <w:color w:val="1A1A1A"/>
                <w:sz w:val="19"/>
                <w:szCs w:val="19"/>
              </w:rPr>
              <w:t xml:space="preserve">MatchData (cached, external)</w:t>
            </w:r>
          </w:p>
        </w:tc>
        <w:tc>
          <w:tcPr>
            <w:tcW w:type="dxa" w:w="4200"/>
            <w:shd w:fill="EFF3EE" w:val="clear"/>
            <w:tcMar>
              <w:top w:type="dxa" w:w="90"/>
              <w:left w:type="dxa" w:w="110"/>
              <w:bottom w:type="dxa" w:w="90"/>
              <w:right w:type="dxa" w:w="110"/>
            </w:tcMar>
            <w:vAlign w:val="center"/>
          </w:tcPr>
          <w:p>
            <w:r>
              <w:rPr>
                <w:b w:val="false"/>
                <w:bCs w:val="false"/>
                <w:color w:val="1A1A1A"/>
                <w:sz w:val="19"/>
                <w:szCs w:val="19"/>
              </w:rPr>
              <w:t xml:space="preserve">id, external_ref, competition, teams, score, status, kickoff_time</w:t>
            </w:r>
          </w:p>
        </w:tc>
        <w:tc>
          <w:tcPr>
            <w:tcW w:type="dxa" w:w="3250"/>
            <w:shd w:fill="EFF3EE" w:val="clear"/>
            <w:tcMar>
              <w:top w:type="dxa" w:w="90"/>
              <w:left w:type="dxa" w:w="110"/>
              <w:bottom w:type="dxa" w:w="90"/>
              <w:right w:type="dxa" w:w="110"/>
            </w:tcMar>
            <w:vAlign w:val="center"/>
          </w:tcPr>
          <w:p>
            <w:r>
              <w:rPr>
                <w:b w:val="false"/>
                <w:bCs w:val="false"/>
                <w:color w:val="1A1A1A"/>
                <w:sz w:val="19"/>
                <w:szCs w:val="19"/>
              </w:rPr>
              <w:t xml:space="preserve">synced on a schedule from the licensed sports-data API — Section 5.3</w:t>
            </w:r>
          </w:p>
        </w:tc>
      </w:tr>
      <w:tr>
        <w:tc>
          <w:tcPr>
            <w:tcW w:type="dxa" w:w="1900"/>
            <w:shd w:fill="FFFFFF" w:val="clear"/>
            <w:tcMar>
              <w:top w:type="dxa" w:w="90"/>
              <w:left w:type="dxa" w:w="110"/>
              <w:bottom w:type="dxa" w:w="90"/>
              <w:right w:type="dxa" w:w="110"/>
            </w:tcMar>
            <w:vAlign w:val="center"/>
          </w:tcPr>
          <w:p>
            <w:r>
              <w:rPr>
                <w:b w:val="false"/>
                <w:bCs w:val="false"/>
                <w:color w:val="1A1A1A"/>
                <w:sz w:val="19"/>
                <w:szCs w:val="19"/>
              </w:rPr>
              <w:t xml:space="preserve">LeaderboardEntry</w:t>
            </w:r>
          </w:p>
        </w:tc>
        <w:tc>
          <w:tcPr>
            <w:tcW w:type="dxa" w:w="4200"/>
            <w:shd w:fill="FFFFFF" w:val="clear"/>
            <w:tcMar>
              <w:top w:type="dxa" w:w="90"/>
              <w:left w:type="dxa" w:w="110"/>
              <w:bottom w:type="dxa" w:w="90"/>
              <w:right w:type="dxa" w:w="110"/>
            </w:tcMar>
            <w:vAlign w:val="center"/>
          </w:tcPr>
          <w:p>
            <w:r>
              <w:rPr>
                <w:b w:val="false"/>
                <w:bCs w:val="false"/>
                <w:color w:val="1A1A1A"/>
                <w:sz w:val="19"/>
                <w:szCs w:val="19"/>
              </w:rPr>
              <w:t xml:space="preserve">id, user_id, points, rank, period</w:t>
            </w:r>
          </w:p>
        </w:tc>
        <w:tc>
          <w:tcPr>
            <w:tcW w:type="dxa" w:w="3250"/>
            <w:shd w:fill="FFFFFF" w:val="clear"/>
            <w:tcMar>
              <w:top w:type="dxa" w:w="90"/>
              <w:left w:type="dxa" w:w="110"/>
              <w:bottom w:type="dxa" w:w="90"/>
              <w:right w:type="dxa" w:w="110"/>
            </w:tcMar>
            <w:vAlign w:val="center"/>
          </w:tcPr>
          <w:p>
            <w:r>
              <w:rPr>
                <w:b w:val="false"/>
                <w:bCs w:val="false"/>
                <w:color w:val="1A1A1A"/>
                <w:sz w:val="19"/>
                <w:szCs w:val="19"/>
              </w:rPr>
              <w:t xml:space="preserve">belongs to one User; recalculated on a schedule</w:t>
            </w:r>
          </w:p>
        </w:tc>
      </w:tr>
    </w:tbl>
    <w:p>
      <w:pPr>
        <w:spacing w:after="160" w:line="276"/>
      </w:pPr>
      <w:r>
        <w:t xml:space="preserve">Note the deliberate absence of any Discover-pillar entities (Player Passport, Combine Score, Scout CRM records) or Careers-pillar entities (Job Listing, Certification) — consistent with the scope cut in Section 2.2, these are not modelled until Phase 2.</w:t>
      </w:r>
    </w:p>
    <w:p>
      <w:r>
        <w:br w:type="page"/>
      </w:r>
    </w:p>
    <w:p>
      <w:pPr>
        <w:pStyle w:val="Heading1"/>
        <w:spacing w:after="240" w:before="480"/>
      </w:pPr>
      <w:r>
        <w:rPr>
          <w:color w:val="C99A2E"/>
        </w:rPr>
        <w:t xml:space="preserve">4  </w:t>
      </w:r>
      <w:r>
        <w:t xml:space="preserve">API Contract Sketch</w:t>
      </w:r>
    </w:p>
    <w:p>
      <w:pPr>
        <w:spacing w:after="160" w:line="276"/>
      </w:pPr>
      <w:r>
        <w:t xml:space="preserve">Grouped by service, matching the microservices direction in Log Book Section 8. This is a build-ready endpoint list, not a full OpenAPI spec — an engineer should treat each line as a scaffolding target.</w:t>
      </w:r>
    </w:p>
    <w:p>
      <w:pPr>
        <w:pStyle w:val="Heading2"/>
        <w:spacing w:after="160" w:before="320"/>
      </w:pPr>
      <w:r>
        <w:t xml:space="preserve">4.1 Auth Service</w:t>
      </w:r>
    </w:p>
    <w:p>
      <w:pPr>
        <w:spacing w:after="40"/>
      </w:pPr>
      <w:r>
        <w:rPr>
          <w:rFonts w:ascii="Consolas" w:cs="Consolas" w:eastAsia="Consolas" w:hAnsi="Consolas"/>
          <w:color w:val="12213A"/>
          <w:sz w:val="19"/>
          <w:szCs w:val="19"/>
        </w:rPr>
        <w:t xml:space="preserve">POST   /auth/register</w:t>
      </w:r>
    </w:p>
    <w:p>
      <w:pPr>
        <w:spacing w:after="40"/>
      </w:pPr>
      <w:r>
        <w:rPr>
          <w:rFonts w:ascii="Consolas" w:cs="Consolas" w:eastAsia="Consolas" w:hAnsi="Consolas"/>
          <w:color w:val="12213A"/>
          <w:sz w:val="19"/>
          <w:szCs w:val="19"/>
        </w:rPr>
        <w:t xml:space="preserve">POST   /auth/login</w:t>
      </w:r>
    </w:p>
    <w:p>
      <w:pPr>
        <w:spacing w:after="40"/>
      </w:pPr>
      <w:r>
        <w:rPr>
          <w:rFonts w:ascii="Consolas" w:cs="Consolas" w:eastAsia="Consolas" w:hAnsi="Consolas"/>
          <w:color w:val="12213A"/>
          <w:sz w:val="19"/>
          <w:szCs w:val="19"/>
        </w:rPr>
        <w:t xml:space="preserve">POST   /auth/forgot-password</w:t>
      </w:r>
    </w:p>
    <w:p>
      <w:pPr>
        <w:spacing w:after="40"/>
      </w:pPr>
      <w:r>
        <w:rPr>
          <w:rFonts w:ascii="Consolas" w:cs="Consolas" w:eastAsia="Consolas" w:hAnsi="Consolas"/>
          <w:color w:val="12213A"/>
          <w:sz w:val="19"/>
          <w:szCs w:val="19"/>
        </w:rPr>
        <w:t xml:space="preserve">POST   /auth/reset-password</w:t>
      </w:r>
    </w:p>
    <w:p>
      <w:pPr>
        <w:spacing w:after="40"/>
      </w:pPr>
      <w:r>
        <w:rPr>
          <w:rFonts w:ascii="Consolas" w:cs="Consolas" w:eastAsia="Consolas" w:hAnsi="Consolas"/>
          <w:color w:val="12213A"/>
          <w:sz w:val="19"/>
          <w:szCs w:val="19"/>
        </w:rPr>
        <w:t xml:space="preserve">POST   /auth/verify-email</w:t>
      </w:r>
    </w:p>
    <w:p>
      <w:pPr>
        <w:spacing w:after="40"/>
      </w:pPr>
      <w:r>
        <w:rPr>
          <w:rFonts w:ascii="Consolas" w:cs="Consolas" w:eastAsia="Consolas" w:hAnsi="Consolas"/>
          <w:color w:val="12213A"/>
          <w:sz w:val="19"/>
          <w:szCs w:val="19"/>
        </w:rPr>
        <w:t xml:space="preserve">POST   /auth/guardian-consent          — minor account guardian email + relationship</w:t>
      </w:r>
    </w:p>
    <w:p>
      <w:pPr>
        <w:spacing w:after="40"/>
      </w:pPr>
      <w:r>
        <w:rPr>
          <w:rFonts w:ascii="Consolas" w:cs="Consolas" w:eastAsia="Consolas" w:hAnsi="Consolas"/>
          <w:color w:val="12213A"/>
          <w:sz w:val="19"/>
          <w:szCs w:val="19"/>
        </w:rPr>
        <w:t xml:space="preserve">GET    /auth/me</w:t>
      </w:r>
    </w:p>
    <w:p>
      <w:pPr>
        <w:pStyle w:val="Heading2"/>
        <w:spacing w:after="160" w:before="320"/>
      </w:pPr>
      <w:r>
        <w:t xml:space="preserve">4.2 User Service</w:t>
      </w:r>
    </w:p>
    <w:p>
      <w:pPr>
        <w:spacing w:after="40"/>
      </w:pPr>
      <w:r>
        <w:rPr>
          <w:rFonts w:ascii="Consolas" w:cs="Consolas" w:eastAsia="Consolas" w:hAnsi="Consolas"/>
          <w:color w:val="12213A"/>
          <w:sz w:val="19"/>
          <w:szCs w:val="19"/>
        </w:rPr>
        <w:t xml:space="preserve">GET    /users/:id</w:t>
      </w:r>
    </w:p>
    <w:p>
      <w:pPr>
        <w:spacing w:after="40"/>
      </w:pPr>
      <w:r>
        <w:rPr>
          <w:rFonts w:ascii="Consolas" w:cs="Consolas" w:eastAsia="Consolas" w:hAnsi="Consolas"/>
          <w:color w:val="12213A"/>
          <w:sz w:val="19"/>
          <w:szCs w:val="19"/>
        </w:rPr>
        <w:t xml:space="preserve">PATCH  /users/:id</w:t>
      </w:r>
    </w:p>
    <w:p>
      <w:pPr>
        <w:spacing w:after="40"/>
      </w:pPr>
      <w:r>
        <w:rPr>
          <w:rFonts w:ascii="Consolas" w:cs="Consolas" w:eastAsia="Consolas" w:hAnsi="Consolas"/>
          <w:color w:val="12213A"/>
          <w:sz w:val="19"/>
          <w:szCs w:val="19"/>
        </w:rPr>
        <w:t xml:space="preserve">GET    /users/:id/profile</w:t>
      </w:r>
    </w:p>
    <w:p>
      <w:pPr>
        <w:spacing w:after="40"/>
      </w:pPr>
      <w:r>
        <w:rPr>
          <w:rFonts w:ascii="Consolas" w:cs="Consolas" w:eastAsia="Consolas" w:hAnsi="Consolas"/>
          <w:color w:val="12213A"/>
          <w:sz w:val="19"/>
          <w:szCs w:val="19"/>
        </w:rPr>
        <w:t xml:space="preserve">POST   /users/:id/follow</w:t>
      </w:r>
    </w:p>
    <w:p>
      <w:pPr>
        <w:spacing w:after="40"/>
      </w:pPr>
      <w:r>
        <w:rPr>
          <w:rFonts w:ascii="Consolas" w:cs="Consolas" w:eastAsia="Consolas" w:hAnsi="Consolas"/>
          <w:color w:val="12213A"/>
          <w:sz w:val="19"/>
          <w:szCs w:val="19"/>
        </w:rPr>
        <w:t xml:space="preserve">DELETE /users/:id/follow</w:t>
      </w:r>
    </w:p>
    <w:p>
      <w:pPr>
        <w:spacing w:after="40"/>
      </w:pPr>
      <w:r>
        <w:rPr>
          <w:rFonts w:ascii="Consolas" w:cs="Consolas" w:eastAsia="Consolas" w:hAnsi="Consolas"/>
          <w:color w:val="12213A"/>
          <w:sz w:val="19"/>
          <w:szCs w:val="19"/>
        </w:rPr>
        <w:t xml:space="preserve">GET    /users/:id/followers</w:t>
      </w:r>
    </w:p>
    <w:p>
      <w:pPr>
        <w:spacing w:after="40"/>
      </w:pPr>
      <w:r>
        <w:rPr>
          <w:rFonts w:ascii="Consolas" w:cs="Consolas" w:eastAsia="Consolas" w:hAnsi="Consolas"/>
          <w:color w:val="12213A"/>
          <w:sz w:val="19"/>
          <w:szCs w:val="19"/>
        </w:rPr>
        <w:t xml:space="preserve">GET    /users/:id/following</w:t>
      </w:r>
    </w:p>
    <w:p>
      <w:pPr>
        <w:pStyle w:val="Heading2"/>
        <w:spacing w:after="160" w:before="320"/>
      </w:pPr>
      <w:r>
        <w:t xml:space="preserve">4.3 Feed Service</w:t>
      </w:r>
    </w:p>
    <w:p>
      <w:pPr>
        <w:spacing w:after="40"/>
      </w:pPr>
      <w:r>
        <w:rPr>
          <w:rFonts w:ascii="Consolas" w:cs="Consolas" w:eastAsia="Consolas" w:hAnsi="Consolas"/>
          <w:color w:val="12213A"/>
          <w:sz w:val="19"/>
          <w:szCs w:val="19"/>
        </w:rPr>
        <w:t xml:space="preserve">POST   /posts</w:t>
      </w:r>
    </w:p>
    <w:p>
      <w:pPr>
        <w:spacing w:after="40"/>
      </w:pPr>
      <w:r>
        <w:rPr>
          <w:rFonts w:ascii="Consolas" w:cs="Consolas" w:eastAsia="Consolas" w:hAnsi="Consolas"/>
          <w:color w:val="12213A"/>
          <w:sz w:val="19"/>
          <w:szCs w:val="19"/>
        </w:rPr>
        <w:t xml:space="preserve">GET    /posts/feed</w:t>
      </w:r>
    </w:p>
    <w:p>
      <w:pPr>
        <w:spacing w:after="40"/>
      </w:pPr>
      <w:r>
        <w:rPr>
          <w:rFonts w:ascii="Consolas" w:cs="Consolas" w:eastAsia="Consolas" w:hAnsi="Consolas"/>
          <w:color w:val="12213A"/>
          <w:sz w:val="19"/>
          <w:szCs w:val="19"/>
        </w:rPr>
        <w:t xml:space="preserve">GET    /posts/:id</w:t>
      </w:r>
    </w:p>
    <w:p>
      <w:pPr>
        <w:spacing w:after="40"/>
      </w:pPr>
      <w:r>
        <w:rPr>
          <w:rFonts w:ascii="Consolas" w:cs="Consolas" w:eastAsia="Consolas" w:hAnsi="Consolas"/>
          <w:color w:val="12213A"/>
          <w:sz w:val="19"/>
          <w:szCs w:val="19"/>
        </w:rPr>
        <w:t xml:space="preserve">POST   /posts/:id/like</w:t>
      </w:r>
    </w:p>
    <w:p>
      <w:pPr>
        <w:spacing w:after="40"/>
      </w:pPr>
      <w:r>
        <w:rPr>
          <w:rFonts w:ascii="Consolas" w:cs="Consolas" w:eastAsia="Consolas" w:hAnsi="Consolas"/>
          <w:color w:val="12213A"/>
          <w:sz w:val="19"/>
          <w:szCs w:val="19"/>
        </w:rPr>
        <w:t xml:space="preserve">DELETE /posts/:id/like</w:t>
      </w:r>
    </w:p>
    <w:p>
      <w:pPr>
        <w:spacing w:after="40"/>
      </w:pPr>
      <w:r>
        <w:rPr>
          <w:rFonts w:ascii="Consolas" w:cs="Consolas" w:eastAsia="Consolas" w:hAnsi="Consolas"/>
          <w:color w:val="12213A"/>
          <w:sz w:val="19"/>
          <w:szCs w:val="19"/>
        </w:rPr>
        <w:t xml:space="preserve">POST   /posts/:id/comments</w:t>
      </w:r>
    </w:p>
    <w:p>
      <w:pPr>
        <w:spacing w:after="40"/>
      </w:pPr>
      <w:r>
        <w:rPr>
          <w:rFonts w:ascii="Consolas" w:cs="Consolas" w:eastAsia="Consolas" w:hAnsi="Consolas"/>
          <w:color w:val="12213A"/>
          <w:sz w:val="19"/>
          <w:szCs w:val="19"/>
        </w:rPr>
        <w:t xml:space="preserve">GET    /posts/:id/comments</w:t>
      </w:r>
    </w:p>
    <w:p>
      <w:pPr>
        <w:spacing w:after="40"/>
      </w:pPr>
      <w:r>
        <w:rPr>
          <w:rFonts w:ascii="Consolas" w:cs="Consolas" w:eastAsia="Consolas" w:hAnsi="Consolas"/>
          <w:color w:val="12213A"/>
          <w:sz w:val="19"/>
          <w:szCs w:val="19"/>
        </w:rPr>
        <w:t xml:space="preserve">POST   /posts/:id/save</w:t>
      </w:r>
    </w:p>
    <w:p>
      <w:pPr>
        <w:spacing w:after="40"/>
      </w:pPr>
      <w:r>
        <w:rPr>
          <w:rFonts w:ascii="Consolas" w:cs="Consolas" w:eastAsia="Consolas" w:hAnsi="Consolas"/>
          <w:color w:val="12213A"/>
          <w:sz w:val="19"/>
          <w:szCs w:val="19"/>
        </w:rPr>
        <w:t xml:space="preserve">DELETE /posts/:id/save</w:t>
      </w:r>
    </w:p>
    <w:p>
      <w:pPr>
        <w:spacing w:after="40"/>
      </w:pPr>
      <w:r>
        <w:rPr>
          <w:rFonts w:ascii="Consolas" w:cs="Consolas" w:eastAsia="Consolas" w:hAnsi="Consolas"/>
          <w:color w:val="12213A"/>
          <w:sz w:val="19"/>
          <w:szCs w:val="19"/>
        </w:rPr>
        <w:t xml:space="preserve">GET    /users/:id/saved-posts</w:t>
      </w:r>
    </w:p>
    <w:p>
      <w:pPr>
        <w:pStyle w:val="Heading2"/>
        <w:spacing w:after="160" w:before="320"/>
      </w:pPr>
      <w:r>
        <w:t xml:space="preserve">4.4 Club &amp; Banter Service</w:t>
      </w:r>
    </w:p>
    <w:p>
      <w:pPr>
        <w:spacing w:after="40"/>
      </w:pPr>
      <w:r>
        <w:rPr>
          <w:rFonts w:ascii="Consolas" w:cs="Consolas" w:eastAsia="Consolas" w:hAnsi="Consolas"/>
          <w:color w:val="12213A"/>
          <w:sz w:val="19"/>
          <w:szCs w:val="19"/>
        </w:rPr>
        <w:t xml:space="preserve">GET    /clubs</w:t>
      </w:r>
    </w:p>
    <w:p>
      <w:pPr>
        <w:spacing w:after="40"/>
      </w:pPr>
      <w:r>
        <w:rPr>
          <w:rFonts w:ascii="Consolas" w:cs="Consolas" w:eastAsia="Consolas" w:hAnsi="Consolas"/>
          <w:color w:val="12213A"/>
          <w:sz w:val="19"/>
          <w:szCs w:val="19"/>
        </w:rPr>
        <w:t xml:space="preserve">GET    /clubs/:id</w:t>
      </w:r>
    </w:p>
    <w:p>
      <w:pPr>
        <w:spacing w:after="40"/>
      </w:pPr>
      <w:r>
        <w:rPr>
          <w:rFonts w:ascii="Consolas" w:cs="Consolas" w:eastAsia="Consolas" w:hAnsi="Consolas"/>
          <w:color w:val="12213A"/>
          <w:sz w:val="19"/>
          <w:szCs w:val="19"/>
        </w:rPr>
        <w:t xml:space="preserve">POST   /clubs/:id/join</w:t>
      </w:r>
    </w:p>
    <w:p>
      <w:pPr>
        <w:spacing w:after="40"/>
      </w:pPr>
      <w:r>
        <w:rPr>
          <w:rFonts w:ascii="Consolas" w:cs="Consolas" w:eastAsia="Consolas" w:hAnsi="Consolas"/>
          <w:color w:val="12213A"/>
          <w:sz w:val="19"/>
          <w:szCs w:val="19"/>
        </w:rPr>
        <w:t xml:space="preserve">GET    /banter-rooms</w:t>
      </w:r>
    </w:p>
    <w:p>
      <w:pPr>
        <w:spacing w:after="40"/>
      </w:pPr>
      <w:r>
        <w:rPr>
          <w:rFonts w:ascii="Consolas" w:cs="Consolas" w:eastAsia="Consolas" w:hAnsi="Consolas"/>
          <w:color w:val="12213A"/>
          <w:sz w:val="19"/>
          <w:szCs w:val="19"/>
        </w:rPr>
        <w:t xml:space="preserve">GET    /banter-rooms/:id</w:t>
      </w:r>
    </w:p>
    <w:p>
      <w:pPr>
        <w:spacing w:after="40"/>
      </w:pPr>
      <w:r>
        <w:rPr>
          <w:rFonts w:ascii="Consolas" w:cs="Consolas" w:eastAsia="Consolas" w:hAnsi="Consolas"/>
          <w:color w:val="12213A"/>
          <w:sz w:val="19"/>
          <w:szCs w:val="19"/>
        </w:rPr>
        <w:t xml:space="preserve">POST   /banter-rooms</w:t>
      </w:r>
    </w:p>
    <w:p>
      <w:pPr>
        <w:spacing w:after="40"/>
      </w:pPr>
      <w:r>
        <w:rPr>
          <w:rFonts w:ascii="Consolas" w:cs="Consolas" w:eastAsia="Consolas" w:hAnsi="Consolas"/>
          <w:color w:val="12213A"/>
          <w:sz w:val="19"/>
          <w:szCs w:val="19"/>
        </w:rPr>
        <w:t xml:space="preserve">POST   /banter-rooms/:id/topics</w:t>
      </w:r>
    </w:p>
    <w:p>
      <w:pPr>
        <w:spacing w:after="40"/>
      </w:pPr>
      <w:r>
        <w:rPr>
          <w:rFonts w:ascii="Consolas" w:cs="Consolas" w:eastAsia="Consolas" w:hAnsi="Consolas"/>
          <w:color w:val="12213A"/>
          <w:sz w:val="19"/>
          <w:szCs w:val="19"/>
        </w:rPr>
        <w:t xml:space="preserve">GET    /banter-rooms/search?q=</w:t>
      </w:r>
    </w:p>
    <w:p>
      <w:pPr>
        <w:pStyle w:val="Heading2"/>
        <w:spacing w:after="160" w:before="320"/>
      </w:pPr>
      <w:r>
        <w:t xml:space="preserve">4.5 Grassroots Records Service (new)</w:t>
      </w:r>
    </w:p>
    <w:p>
      <w:pPr>
        <w:spacing w:after="40"/>
      </w:pPr>
      <w:r>
        <w:rPr>
          <w:rFonts w:ascii="Consolas" w:cs="Consolas" w:eastAsia="Consolas" w:hAnsi="Consolas"/>
          <w:color w:val="12213A"/>
          <w:sz w:val="19"/>
          <w:szCs w:val="19"/>
        </w:rPr>
        <w:t xml:space="preserve">POST   /teams</w:t>
      </w:r>
    </w:p>
    <w:p>
      <w:pPr>
        <w:spacing w:after="40"/>
      </w:pPr>
      <w:r>
        <w:rPr>
          <w:rFonts w:ascii="Consolas" w:cs="Consolas" w:eastAsia="Consolas" w:hAnsi="Consolas"/>
          <w:color w:val="12213A"/>
          <w:sz w:val="19"/>
          <w:szCs w:val="19"/>
        </w:rPr>
        <w:t xml:space="preserve">GET    /teams/:id</w:t>
      </w:r>
    </w:p>
    <w:p>
      <w:pPr>
        <w:spacing w:after="40"/>
      </w:pPr>
      <w:r>
        <w:rPr>
          <w:rFonts w:ascii="Consolas" w:cs="Consolas" w:eastAsia="Consolas" w:hAnsi="Consolas"/>
          <w:color w:val="12213A"/>
          <w:sz w:val="19"/>
          <w:szCs w:val="19"/>
        </w:rPr>
        <w:t xml:space="preserve">GET    /teams?city=</w:t>
      </w:r>
    </w:p>
    <w:p>
      <w:pPr>
        <w:spacing w:after="40"/>
      </w:pPr>
      <w:r>
        <w:rPr>
          <w:rFonts w:ascii="Consolas" w:cs="Consolas" w:eastAsia="Consolas" w:hAnsi="Consolas"/>
          <w:color w:val="12213A"/>
          <w:sz w:val="19"/>
          <w:szCs w:val="19"/>
        </w:rPr>
        <w:t xml:space="preserve">POST   /fixtures</w:t>
      </w:r>
    </w:p>
    <w:p>
      <w:pPr>
        <w:spacing w:after="40"/>
      </w:pPr>
      <w:r>
        <w:rPr>
          <w:rFonts w:ascii="Consolas" w:cs="Consolas" w:eastAsia="Consolas" w:hAnsi="Consolas"/>
          <w:color w:val="12213A"/>
          <w:sz w:val="19"/>
          <w:szCs w:val="19"/>
        </w:rPr>
        <w:t xml:space="preserve">GET    /fixtures/:id</w:t>
      </w:r>
    </w:p>
    <w:p>
      <w:pPr>
        <w:spacing w:after="40"/>
      </w:pPr>
      <w:r>
        <w:rPr>
          <w:rFonts w:ascii="Consolas" w:cs="Consolas" w:eastAsia="Consolas" w:hAnsi="Consolas"/>
          <w:color w:val="12213A"/>
          <w:sz w:val="19"/>
          <w:szCs w:val="19"/>
        </w:rPr>
        <w:t xml:space="preserve">POST   /fixtures/:id/result</w:t>
      </w:r>
    </w:p>
    <w:p>
      <w:pPr>
        <w:spacing w:after="40"/>
      </w:pPr>
      <w:r>
        <w:rPr>
          <w:rFonts w:ascii="Consolas" w:cs="Consolas" w:eastAsia="Consolas" w:hAnsi="Consolas"/>
          <w:color w:val="12213A"/>
          <w:sz w:val="19"/>
          <w:szCs w:val="19"/>
        </w:rPr>
        <w:t xml:space="preserve">GET    /teams/:id/fixtures</w:t>
      </w:r>
    </w:p>
    <w:p>
      <w:pPr>
        <w:pStyle w:val="Heading2"/>
        <w:spacing w:after="160" w:before="320"/>
      </w:pPr>
      <w:r>
        <w:t xml:space="preserve">4.6 Sports Hub Service</w:t>
      </w:r>
    </w:p>
    <w:p>
      <w:pPr>
        <w:spacing w:after="40"/>
      </w:pPr>
      <w:r>
        <w:rPr>
          <w:rFonts w:ascii="Consolas" w:cs="Consolas" w:eastAsia="Consolas" w:hAnsi="Consolas"/>
          <w:color w:val="12213A"/>
          <w:sz w:val="19"/>
          <w:szCs w:val="19"/>
        </w:rPr>
        <w:t xml:space="preserve">GET    /sports/live-scores</w:t>
      </w:r>
    </w:p>
    <w:p>
      <w:pPr>
        <w:spacing w:after="40"/>
      </w:pPr>
      <w:r>
        <w:rPr>
          <w:rFonts w:ascii="Consolas" w:cs="Consolas" w:eastAsia="Consolas" w:hAnsi="Consolas"/>
          <w:color w:val="12213A"/>
          <w:sz w:val="19"/>
          <w:szCs w:val="19"/>
        </w:rPr>
        <w:t xml:space="preserve">GET    /sports/fixtures?date=</w:t>
      </w:r>
    </w:p>
    <w:p>
      <w:pPr>
        <w:spacing w:after="40"/>
      </w:pPr>
      <w:r>
        <w:rPr>
          <w:rFonts w:ascii="Consolas" w:cs="Consolas" w:eastAsia="Consolas" w:hAnsi="Consolas"/>
          <w:color w:val="12213A"/>
          <w:sz w:val="19"/>
          <w:szCs w:val="19"/>
        </w:rPr>
        <w:t xml:space="preserve">GET    /sports/matches/:id</w:t>
      </w:r>
    </w:p>
    <w:p>
      <w:pPr>
        <w:spacing w:after="40"/>
      </w:pPr>
      <w:r>
        <w:rPr>
          <w:rFonts w:ascii="Consolas" w:cs="Consolas" w:eastAsia="Consolas" w:hAnsi="Consolas"/>
          <w:color w:val="12213A"/>
          <w:sz w:val="19"/>
          <w:szCs w:val="19"/>
        </w:rPr>
        <w:t xml:space="preserve">GET    /sports/matches/:id/stats</w:t>
      </w:r>
    </w:p>
    <w:p>
      <w:pPr>
        <w:spacing w:after="40"/>
      </w:pPr>
      <w:r>
        <w:rPr>
          <w:rFonts w:ascii="Consolas" w:cs="Consolas" w:eastAsia="Consolas" w:hAnsi="Consolas"/>
          <w:color w:val="12213A"/>
          <w:sz w:val="19"/>
          <w:szCs w:val="19"/>
        </w:rPr>
        <w:t xml:space="preserve">GET    /sports/matches/:id/lineups</w:t>
      </w:r>
    </w:p>
    <w:p>
      <w:pPr>
        <w:spacing w:after="40"/>
      </w:pPr>
      <w:r>
        <w:rPr>
          <w:rFonts w:ascii="Consolas" w:cs="Consolas" w:eastAsia="Consolas" w:hAnsi="Consolas"/>
          <w:color w:val="12213A"/>
          <w:sz w:val="19"/>
          <w:szCs w:val="19"/>
        </w:rPr>
        <w:t xml:space="preserve">GET    /sports/matches/:id/h2h</w:t>
      </w:r>
    </w:p>
    <w:p>
      <w:pPr>
        <w:spacing w:after="40"/>
      </w:pPr>
      <w:r>
        <w:rPr>
          <w:rFonts w:ascii="Consolas" w:cs="Consolas" w:eastAsia="Consolas" w:hAnsi="Consolas"/>
          <w:color w:val="12213A"/>
          <w:sz w:val="19"/>
          <w:szCs w:val="19"/>
        </w:rPr>
        <w:t xml:space="preserve">GET    /sports/standings?league=</w:t>
      </w:r>
    </w:p>
    <w:p>
      <w:pPr>
        <w:spacing w:after="40"/>
      </w:pPr>
      <w:r>
        <w:rPr>
          <w:rFonts w:ascii="Consolas" w:cs="Consolas" w:eastAsia="Consolas" w:hAnsi="Consolas"/>
          <w:color w:val="12213A"/>
          <w:sz w:val="19"/>
          <w:szCs w:val="19"/>
        </w:rPr>
        <w:t xml:space="preserve">GET    /sports/highlights/:matchId</w:t>
      </w:r>
    </w:p>
    <w:p>
      <w:pPr>
        <w:pStyle w:val="Heading2"/>
        <w:spacing w:after="160" w:before="320"/>
      </w:pPr>
      <w:r>
        <w:t xml:space="preserve">4.7 Content, Messaging, Notification &amp; Search Services</w:t>
      </w:r>
    </w:p>
    <w:p>
      <w:pPr>
        <w:spacing w:after="40"/>
      </w:pPr>
      <w:r>
        <w:rPr>
          <w:rFonts w:ascii="Consolas" w:cs="Consolas" w:eastAsia="Consolas" w:hAnsi="Consolas"/>
          <w:color w:val="12213A"/>
          <w:sz w:val="19"/>
          <w:szCs w:val="19"/>
        </w:rPr>
        <w:t xml:space="preserve">GET    /articles                      GET /articles/:id      GET /categories</w:t>
      </w:r>
    </w:p>
    <w:p>
      <w:pPr>
        <w:spacing w:after="40"/>
      </w:pPr>
      <w:r>
        <w:rPr>
          <w:rFonts w:ascii="Consolas" w:cs="Consolas" w:eastAsia="Consolas" w:hAnsi="Consolas"/>
          <w:color w:val="12213A"/>
          <w:sz w:val="19"/>
          <w:szCs w:val="19"/>
        </w:rPr>
        <w:t xml:space="preserve">GET    /conversations                 POST /conversations</w:t>
      </w:r>
    </w:p>
    <w:p>
      <w:pPr>
        <w:spacing w:after="40"/>
      </w:pPr>
      <w:r>
        <w:rPr>
          <w:rFonts w:ascii="Consolas" w:cs="Consolas" w:eastAsia="Consolas" w:hAnsi="Consolas"/>
          <w:color w:val="12213A"/>
          <w:sz w:val="19"/>
          <w:szCs w:val="19"/>
        </w:rPr>
        <w:t xml:space="preserve">GET    /conversations/:id/messages     POST /conversations/:id/messages</w:t>
      </w:r>
    </w:p>
    <w:p>
      <w:pPr>
        <w:spacing w:after="40"/>
      </w:pPr>
      <w:r>
        <w:rPr>
          <w:rFonts w:ascii="Consolas" w:cs="Consolas" w:eastAsia="Consolas" w:hAnsi="Consolas"/>
          <w:color w:val="12213A"/>
          <w:sz w:val="19"/>
          <w:szCs w:val="19"/>
        </w:rPr>
        <w:t xml:space="preserve">GET    /notifications                 PATCH /notifications/:id/read</w:t>
      </w:r>
    </w:p>
    <w:p>
      <w:pPr>
        <w:spacing w:after="40"/>
      </w:pPr>
      <w:r>
        <w:rPr>
          <w:rFonts w:ascii="Consolas" w:cs="Consolas" w:eastAsia="Consolas" w:hAnsi="Consolas"/>
          <w:color w:val="12213A"/>
          <w:sz w:val="19"/>
          <w:szCs w:val="19"/>
        </w:rPr>
        <w:t xml:space="preserve">PATCH  /notifications/read-all</w:t>
      </w:r>
    </w:p>
    <w:p>
      <w:pPr>
        <w:spacing w:after="40"/>
      </w:pPr>
      <w:r>
        <w:rPr>
          <w:rFonts w:ascii="Consolas" w:cs="Consolas" w:eastAsia="Consolas" w:hAnsi="Consolas"/>
          <w:color w:val="12213A"/>
          <w:sz w:val="19"/>
          <w:szCs w:val="19"/>
        </w:rPr>
        <w:t xml:space="preserve">GET    /search?q=                     GET /trending</w:t>
      </w:r>
    </w:p>
    <w:p>
      <w:pPr>
        <w:pStyle w:val="Heading2"/>
        <w:spacing w:after="160" w:before="320"/>
      </w:pPr>
      <w:r>
        <w:t xml:space="preserve">4.8 Admin Service</w:t>
      </w:r>
    </w:p>
    <w:p>
      <w:pPr>
        <w:spacing w:after="40"/>
      </w:pPr>
      <w:r>
        <w:rPr>
          <w:rFonts w:ascii="Consolas" w:cs="Consolas" w:eastAsia="Consolas" w:hAnsi="Consolas"/>
          <w:color w:val="12213A"/>
          <w:sz w:val="19"/>
          <w:szCs w:val="19"/>
        </w:rPr>
        <w:t xml:space="preserve">GET    /admin/dashboard/stats</w:t>
      </w:r>
    </w:p>
    <w:p>
      <w:pPr>
        <w:spacing w:after="40"/>
      </w:pPr>
      <w:r>
        <w:rPr>
          <w:rFonts w:ascii="Consolas" w:cs="Consolas" w:eastAsia="Consolas" w:hAnsi="Consolas"/>
          <w:color w:val="12213A"/>
          <w:sz w:val="19"/>
          <w:szCs w:val="19"/>
        </w:rPr>
        <w:t xml:space="preserve">POST   /admin/articles                PATCH /admin/articles/:id</w:t>
      </w:r>
    </w:p>
    <w:p>
      <w:pPr>
        <w:spacing w:after="40"/>
      </w:pPr>
      <w:r>
        <w:rPr>
          <w:rFonts w:ascii="Consolas" w:cs="Consolas" w:eastAsia="Consolas" w:hAnsi="Consolas"/>
          <w:color w:val="12213A"/>
          <w:sz w:val="19"/>
          <w:szCs w:val="19"/>
        </w:rPr>
        <w:t xml:space="preserve">POST   /admin/categories</w:t>
      </w:r>
    </w:p>
    <w:p>
      <w:pPr>
        <w:spacing w:after="40"/>
      </w:pPr>
      <w:r>
        <w:rPr>
          <w:rFonts w:ascii="Consolas" w:cs="Consolas" w:eastAsia="Consolas" w:hAnsi="Consolas"/>
          <w:color w:val="12213A"/>
          <w:sz w:val="19"/>
          <w:szCs w:val="19"/>
        </w:rPr>
        <w:t xml:space="preserve">GET    /admin/users                   PATCH /admin/users/:id</w:t>
      </w:r>
    </w:p>
    <w:p>
      <w:pPr>
        <w:spacing w:after="40"/>
      </w:pPr>
      <w:r>
        <w:rPr>
          <w:rFonts w:ascii="Consolas" w:cs="Consolas" w:eastAsia="Consolas" w:hAnsi="Consolas"/>
          <w:color w:val="12213A"/>
          <w:sz w:val="19"/>
          <w:szCs w:val="19"/>
        </w:rPr>
        <w:t xml:space="preserve">GET    /admin/moderation/reports       PATCH /admin/moderation/reports/:id</w:t>
      </w:r>
    </w:p>
    <w:p>
      <w:pPr>
        <w:spacing w:after="40"/>
      </w:pPr>
      <w:r>
        <w:rPr>
          <w:rFonts w:ascii="Consolas" w:cs="Consolas" w:eastAsia="Consolas" w:hAnsi="Consolas"/>
          <w:color w:val="12213A"/>
          <w:sz w:val="19"/>
          <w:szCs w:val="19"/>
        </w:rPr>
        <w:t xml:space="preserve">GET    /admin/media                   POST /admin/media/upload</w:t>
      </w:r>
    </w:p>
    <w:p>
      <w:pPr>
        <w:pStyle w:val="Heading2"/>
        <w:spacing w:after="160" w:before="320"/>
      </w:pPr>
      <w:r>
        <w:t xml:space="preserve">4.9 Leaderboard Service</w:t>
      </w:r>
    </w:p>
    <w:p>
      <w:pPr>
        <w:spacing w:after="40"/>
      </w:pPr>
      <w:r>
        <w:rPr>
          <w:rFonts w:ascii="Consolas" w:cs="Consolas" w:eastAsia="Consolas" w:hAnsi="Consolas"/>
          <w:color w:val="12213A"/>
          <w:sz w:val="19"/>
          <w:szCs w:val="19"/>
        </w:rPr>
        <w:t xml:space="preserve">GET    /leaderboard?period=</w:t>
      </w:r>
    </w:p>
    <w:p>
      <w:r>
        <w:br w:type="page"/>
      </w:r>
    </w:p>
    <w:p>
      <w:pPr>
        <w:pStyle w:val="Heading1"/>
        <w:spacing w:after="240" w:before="480"/>
      </w:pPr>
      <w:r>
        <w:rPr>
          <w:color w:val="C99A2E"/>
        </w:rPr>
        <w:t xml:space="preserve">5  </w:t>
      </w:r>
      <w:r>
        <w:t xml:space="preserve">System &amp; Infrastructure Decisions</w:t>
      </w:r>
    </w:p>
    <w:p>
      <w:pPr>
        <w:spacing w:after="160" w:line="276"/>
      </w:pPr>
      <w:r>
        <w:t xml:space="preserve">Log Book Section 8 named an architectural direction (GraphQL/REST gateway over microservices, managed ML pipeline, licensed sports-data APIs). These are the concrete choices that direction resolves to for MVP v1 — optimised for a small team shipping in ~13 weeks, not for scale that doesn't exist yet.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3800"/>
        <w:gridCol w:w="3450"/>
      </w:tblGrid>
      <w:tr>
        <w:trPr>
          <w:tblHeader/>
        </w:trPr>
        <w:tc>
          <w:tcPr>
            <w:tcW w:type="dxa" w:w="2100"/>
            <w:shd w:fill="12213A" w:val="clear"/>
            <w:tcMar>
              <w:top w:type="dxa" w:w="90"/>
              <w:left w:type="dxa" w:w="110"/>
              <w:bottom w:type="dxa" w:w="90"/>
              <w:right w:type="dxa" w:w="110"/>
            </w:tcMar>
            <w:vAlign w:val="center"/>
          </w:tcPr>
          <w:p>
            <w:r>
              <w:rPr>
                <w:b/>
                <w:bCs/>
                <w:color w:val="FFFFFF"/>
                <w:sz w:val="19"/>
                <w:szCs w:val="19"/>
              </w:rPr>
              <w:t xml:space="preserve">Decision</w:t>
            </w:r>
          </w:p>
        </w:tc>
        <w:tc>
          <w:tcPr>
            <w:tcW w:type="dxa" w:w="3800"/>
            <w:shd w:fill="12213A" w:val="clear"/>
            <w:tcMar>
              <w:top w:type="dxa" w:w="90"/>
              <w:left w:type="dxa" w:w="110"/>
              <w:bottom w:type="dxa" w:w="90"/>
              <w:right w:type="dxa" w:w="110"/>
            </w:tcMar>
            <w:vAlign w:val="center"/>
          </w:tcPr>
          <w:p>
            <w:r>
              <w:rPr>
                <w:b/>
                <w:bCs/>
                <w:color w:val="FFFFFF"/>
                <w:sz w:val="19"/>
                <w:szCs w:val="19"/>
              </w:rPr>
              <w:t xml:space="preserve">MVP v1 choice</w:t>
            </w:r>
          </w:p>
        </w:tc>
        <w:tc>
          <w:tcPr>
            <w:tcW w:type="dxa" w:w="3450"/>
            <w:shd w:fill="12213A" w:val="clear"/>
            <w:tcMar>
              <w:top w:type="dxa" w:w="90"/>
              <w:left w:type="dxa" w:w="110"/>
              <w:bottom w:type="dxa" w:w="90"/>
              <w:right w:type="dxa" w:w="110"/>
            </w:tcMar>
            <w:vAlign w:val="center"/>
          </w:tcPr>
          <w:p>
            <w:r>
              <w:rPr>
                <w:b/>
                <w:bCs/>
                <w:color w:val="FFFFFF"/>
                <w:sz w:val="19"/>
                <w:szCs w:val="19"/>
              </w:rPr>
              <w:t xml:space="preserve">Rationale</w:t>
            </w:r>
          </w:p>
        </w:tc>
      </w:tr>
      <w:tr>
        <w:tc>
          <w:tcPr>
            <w:tcW w:type="dxa" w:w="2100"/>
            <w:shd w:fill="FFFFFF" w:val="clear"/>
            <w:tcMar>
              <w:top w:type="dxa" w:w="90"/>
              <w:left w:type="dxa" w:w="110"/>
              <w:bottom w:type="dxa" w:w="90"/>
              <w:right w:type="dxa" w:w="110"/>
            </w:tcMar>
            <w:vAlign w:val="center"/>
          </w:tcPr>
          <w:p>
            <w:r>
              <w:rPr>
                <w:b w:val="false"/>
                <w:bCs w:val="false"/>
                <w:color w:val="1A1A1A"/>
                <w:sz w:val="19"/>
                <w:szCs w:val="19"/>
              </w:rPr>
              <w:t xml:space="preserve">Backend language/framework</w:t>
            </w:r>
          </w:p>
        </w:tc>
        <w:tc>
          <w:tcPr>
            <w:tcW w:type="dxa" w:w="3800"/>
            <w:shd w:fill="FFFFFF" w:val="clear"/>
            <w:tcMar>
              <w:top w:type="dxa" w:w="90"/>
              <w:left w:type="dxa" w:w="110"/>
              <w:bottom w:type="dxa" w:w="90"/>
              <w:right w:type="dxa" w:w="110"/>
            </w:tcMar>
            <w:vAlign w:val="center"/>
          </w:tcPr>
          <w:p>
            <w:r>
              <w:rPr>
                <w:b w:val="false"/>
                <w:bCs w:val="false"/>
                <w:color w:val="1A1A1A"/>
                <w:sz w:val="19"/>
                <w:szCs w:val="19"/>
              </w:rPr>
              <w:t xml:space="preserve">Node.js + TypeScript, NestJS</w:t>
            </w:r>
          </w:p>
        </w:tc>
        <w:tc>
          <w:tcPr>
            <w:tcW w:type="dxa" w:w="3450"/>
            <w:shd w:fill="FFFFFF" w:val="clear"/>
            <w:tcMar>
              <w:top w:type="dxa" w:w="90"/>
              <w:left w:type="dxa" w:w="110"/>
              <w:bottom w:type="dxa" w:w="90"/>
              <w:right w:type="dxa" w:w="110"/>
            </w:tcMar>
            <w:vAlign w:val="center"/>
          </w:tcPr>
          <w:p>
            <w:r>
              <w:rPr>
                <w:b w:val="false"/>
                <w:bCs w:val="false"/>
                <w:color w:val="1A1A1A"/>
                <w:sz w:val="19"/>
                <w:szCs w:val="19"/>
              </w:rPr>
              <w:t xml:space="preserve">Structured, modular enough to match the microservices direction without the operational overhead of running true separate services on day one — start as a modular monolith, split into services only where load demands it</w:t>
            </w:r>
          </w:p>
        </w:tc>
      </w:tr>
      <w:tr>
        <w:tc>
          <w:tcPr>
            <w:tcW w:type="dxa" w:w="2100"/>
            <w:shd w:fill="EFF3EE" w:val="clear"/>
            <w:tcMar>
              <w:top w:type="dxa" w:w="90"/>
              <w:left w:type="dxa" w:w="110"/>
              <w:bottom w:type="dxa" w:w="90"/>
              <w:right w:type="dxa" w:w="110"/>
            </w:tcMar>
            <w:vAlign w:val="center"/>
          </w:tcPr>
          <w:p>
            <w:r>
              <w:rPr>
                <w:b w:val="false"/>
                <w:bCs w:val="false"/>
                <w:color w:val="1A1A1A"/>
                <w:sz w:val="19"/>
                <w:szCs w:val="19"/>
              </w:rPr>
              <w:t xml:space="preserve">Primary database</w:t>
            </w:r>
          </w:p>
        </w:tc>
        <w:tc>
          <w:tcPr>
            <w:tcW w:type="dxa" w:w="3800"/>
            <w:shd w:fill="EFF3EE" w:val="clear"/>
            <w:tcMar>
              <w:top w:type="dxa" w:w="90"/>
              <w:left w:type="dxa" w:w="110"/>
              <w:bottom w:type="dxa" w:w="90"/>
              <w:right w:type="dxa" w:w="110"/>
            </w:tcMar>
            <w:vAlign w:val="center"/>
          </w:tcPr>
          <w:p>
            <w:r>
              <w:rPr>
                <w:b w:val="false"/>
                <w:bCs w:val="false"/>
                <w:color w:val="1A1A1A"/>
                <w:sz w:val="19"/>
                <w:szCs w:val="19"/>
              </w:rPr>
              <w:t xml:space="preserve">PostgreSQL</w:t>
            </w:r>
          </w:p>
        </w:tc>
        <w:tc>
          <w:tcPr>
            <w:tcW w:type="dxa" w:w="3450"/>
            <w:shd w:fill="EFF3EE" w:val="clear"/>
            <w:tcMar>
              <w:top w:type="dxa" w:w="90"/>
              <w:left w:type="dxa" w:w="110"/>
              <w:bottom w:type="dxa" w:w="90"/>
              <w:right w:type="dxa" w:w="110"/>
            </w:tcMar>
            <w:vAlign w:val="center"/>
          </w:tcPr>
          <w:p>
            <w:r>
              <w:rPr>
                <w:b w:val="false"/>
                <w:bCs w:val="false"/>
                <w:color w:val="1A1A1A"/>
                <w:sz w:val="19"/>
                <w:szCs w:val="19"/>
              </w:rPr>
              <w:t xml:space="preserve">Relational fits the entity model in Section 3 directly; strong ecosystem support</w:t>
            </w:r>
          </w:p>
        </w:tc>
      </w:tr>
      <w:tr>
        <w:tc>
          <w:tcPr>
            <w:tcW w:type="dxa" w:w="2100"/>
            <w:shd w:fill="FFFFFF" w:val="clear"/>
            <w:tcMar>
              <w:top w:type="dxa" w:w="90"/>
              <w:left w:type="dxa" w:w="110"/>
              <w:bottom w:type="dxa" w:w="90"/>
              <w:right w:type="dxa" w:w="110"/>
            </w:tcMar>
            <w:vAlign w:val="center"/>
          </w:tcPr>
          <w:p>
            <w:r>
              <w:rPr>
                <w:b w:val="false"/>
                <w:bCs w:val="false"/>
                <w:color w:val="1A1A1A"/>
                <w:sz w:val="19"/>
                <w:szCs w:val="19"/>
              </w:rPr>
              <w:t xml:space="preserve">Cache / session / notification queue</w:t>
            </w:r>
          </w:p>
        </w:tc>
        <w:tc>
          <w:tcPr>
            <w:tcW w:type="dxa" w:w="3800"/>
            <w:shd w:fill="FFFFFF" w:val="clear"/>
            <w:tcMar>
              <w:top w:type="dxa" w:w="90"/>
              <w:left w:type="dxa" w:w="110"/>
              <w:bottom w:type="dxa" w:w="90"/>
              <w:right w:type="dxa" w:w="110"/>
            </w:tcMar>
            <w:vAlign w:val="center"/>
          </w:tcPr>
          <w:p>
            <w:r>
              <w:rPr>
                <w:b w:val="false"/>
                <w:bCs w:val="false"/>
                <w:color w:val="1A1A1A"/>
                <w:sz w:val="19"/>
                <w:szCs w:val="19"/>
              </w:rPr>
              <w:t xml:space="preserve">Redis</w:t>
            </w:r>
          </w:p>
        </w:tc>
        <w:tc>
          <w:tcPr>
            <w:tcW w:type="dxa" w:w="3450"/>
            <w:shd w:fill="FFFFFF" w:val="clear"/>
            <w:tcMar>
              <w:top w:type="dxa" w:w="90"/>
              <w:left w:type="dxa" w:w="110"/>
              <w:bottom w:type="dxa" w:w="90"/>
              <w:right w:type="dxa" w:w="110"/>
            </w:tcMar>
            <w:vAlign w:val="center"/>
          </w:tcPr>
          <w:p>
            <w:r>
              <w:rPr>
                <w:b w:val="false"/>
                <w:bCs w:val="false"/>
                <w:color w:val="1A1A1A"/>
                <w:sz w:val="19"/>
                <w:szCs w:val="19"/>
              </w:rPr>
              <w:t xml:space="preserve">Cheap, fast, well-understood for session storage and lightweight pub/sub</w:t>
            </w:r>
          </w:p>
        </w:tc>
      </w:tr>
      <w:tr>
        <w:tc>
          <w:tcPr>
            <w:tcW w:type="dxa" w:w="2100"/>
            <w:shd w:fill="EFF3EE" w:val="clear"/>
            <w:tcMar>
              <w:top w:type="dxa" w:w="90"/>
              <w:left w:type="dxa" w:w="110"/>
              <w:bottom w:type="dxa" w:w="90"/>
              <w:right w:type="dxa" w:w="110"/>
            </w:tcMar>
            <w:vAlign w:val="center"/>
          </w:tcPr>
          <w:p>
            <w:r>
              <w:rPr>
                <w:b w:val="false"/>
                <w:bCs w:val="false"/>
                <w:color w:val="1A1A1A"/>
                <w:sz w:val="19"/>
                <w:szCs w:val="19"/>
              </w:rPr>
              <w:t xml:space="preserve">Web frontend</w:t>
            </w:r>
          </w:p>
        </w:tc>
        <w:tc>
          <w:tcPr>
            <w:tcW w:type="dxa" w:w="3800"/>
            <w:shd w:fill="EFF3EE" w:val="clear"/>
            <w:tcMar>
              <w:top w:type="dxa" w:w="90"/>
              <w:left w:type="dxa" w:w="110"/>
              <w:bottom w:type="dxa" w:w="90"/>
              <w:right w:type="dxa" w:w="110"/>
            </w:tcMar>
            <w:vAlign w:val="center"/>
          </w:tcPr>
          <w:p>
            <w:r>
              <w:rPr>
                <w:b w:val="false"/>
                <w:bCs w:val="false"/>
                <w:color w:val="1A1A1A"/>
                <w:sz w:val="19"/>
                <w:szCs w:val="19"/>
              </w:rPr>
              <w:t xml:space="preserve">React</w:t>
            </w:r>
          </w:p>
        </w:tc>
        <w:tc>
          <w:tcPr>
            <w:tcW w:type="dxa" w:w="3450"/>
            <w:shd w:fill="EFF3EE" w:val="clear"/>
            <w:tcMar>
              <w:top w:type="dxa" w:w="90"/>
              <w:left w:type="dxa" w:w="110"/>
              <w:bottom w:type="dxa" w:w="90"/>
              <w:right w:type="dxa" w:w="110"/>
            </w:tcMar>
            <w:vAlign w:val="center"/>
          </w:tcPr>
          <w:p>
            <w:r>
              <w:rPr>
                <w:b w:val="false"/>
                <w:bCs w:val="false"/>
                <w:color w:val="1A1A1A"/>
                <w:sz w:val="19"/>
                <w:szCs w:val="19"/>
              </w:rPr>
              <w:t xml:space="preserve">Matches the existing Figma file's component patterns (Log Book Section 23.4) directly</w:t>
            </w:r>
          </w:p>
        </w:tc>
      </w:tr>
      <w:tr>
        <w:tc>
          <w:tcPr>
            <w:tcW w:type="dxa" w:w="2100"/>
            <w:shd w:fill="FFFFFF" w:val="clear"/>
            <w:tcMar>
              <w:top w:type="dxa" w:w="90"/>
              <w:left w:type="dxa" w:w="110"/>
              <w:bottom w:type="dxa" w:w="90"/>
              <w:right w:type="dxa" w:w="110"/>
            </w:tcMar>
            <w:vAlign w:val="center"/>
          </w:tcPr>
          <w:p>
            <w:r>
              <w:rPr>
                <w:b w:val="false"/>
                <w:bCs w:val="false"/>
                <w:color w:val="1A1A1A"/>
                <w:sz w:val="19"/>
                <w:szCs w:val="19"/>
              </w:rPr>
              <w:t xml:space="preserve">Mobile frontend</w:t>
            </w:r>
          </w:p>
        </w:tc>
        <w:tc>
          <w:tcPr>
            <w:tcW w:type="dxa" w:w="3800"/>
            <w:shd w:fill="FFFFFF" w:val="clear"/>
            <w:tcMar>
              <w:top w:type="dxa" w:w="90"/>
              <w:left w:type="dxa" w:w="110"/>
              <w:bottom w:type="dxa" w:w="90"/>
              <w:right w:type="dxa" w:w="110"/>
            </w:tcMar>
            <w:vAlign w:val="center"/>
          </w:tcPr>
          <w:p>
            <w:r>
              <w:rPr>
                <w:b w:val="false"/>
                <w:bCs w:val="false"/>
                <w:color w:val="1A1A1A"/>
                <w:sz w:val="19"/>
                <w:szCs w:val="19"/>
              </w:rPr>
              <w:t xml:space="preserve">React Native</w:t>
            </w:r>
          </w:p>
        </w:tc>
        <w:tc>
          <w:tcPr>
            <w:tcW w:type="dxa" w:w="3450"/>
            <w:shd w:fill="FFFFFF" w:val="clear"/>
            <w:tcMar>
              <w:top w:type="dxa" w:w="90"/>
              <w:left w:type="dxa" w:w="110"/>
              <w:bottom w:type="dxa" w:w="90"/>
              <w:right w:type="dxa" w:w="110"/>
            </w:tcMar>
            <w:vAlign w:val="center"/>
          </w:tcPr>
          <w:p>
            <w:r>
              <w:rPr>
                <w:b w:val="false"/>
                <w:bCs w:val="false"/>
                <w:color w:val="1A1A1A"/>
                <w:sz w:val="19"/>
                <w:szCs w:val="19"/>
              </w:rPr>
              <w:t xml:space="preserve">Maximises code and component-logic sharing with the web team given the same design system</w:t>
            </w:r>
          </w:p>
        </w:tc>
      </w:tr>
      <w:tr>
        <w:tc>
          <w:tcPr>
            <w:tcW w:type="dxa" w:w="2100"/>
            <w:shd w:fill="EFF3EE" w:val="clear"/>
            <w:tcMar>
              <w:top w:type="dxa" w:w="90"/>
              <w:left w:type="dxa" w:w="110"/>
              <w:bottom w:type="dxa" w:w="90"/>
              <w:right w:type="dxa" w:w="110"/>
            </w:tcMar>
            <w:vAlign w:val="center"/>
          </w:tcPr>
          <w:p>
            <w:r>
              <w:rPr>
                <w:b w:val="false"/>
                <w:bCs w:val="false"/>
                <w:color w:val="1A1A1A"/>
                <w:sz w:val="19"/>
                <w:szCs w:val="19"/>
              </w:rPr>
              <w:t xml:space="preserve">Media storage &amp; delivery</w:t>
            </w:r>
          </w:p>
        </w:tc>
        <w:tc>
          <w:tcPr>
            <w:tcW w:type="dxa" w:w="3800"/>
            <w:shd w:fill="EFF3EE" w:val="clear"/>
            <w:tcMar>
              <w:top w:type="dxa" w:w="90"/>
              <w:left w:type="dxa" w:w="110"/>
              <w:bottom w:type="dxa" w:w="90"/>
              <w:right w:type="dxa" w:w="110"/>
            </w:tcMar>
            <w:vAlign w:val="center"/>
          </w:tcPr>
          <w:p>
            <w:r>
              <w:rPr>
                <w:b w:val="false"/>
                <w:bCs w:val="false"/>
                <w:color w:val="1A1A1A"/>
                <w:sz w:val="19"/>
                <w:szCs w:val="19"/>
              </w:rPr>
              <w:t xml:space="preserve">S3-compatible object storage + CDN</w:t>
            </w:r>
          </w:p>
        </w:tc>
        <w:tc>
          <w:tcPr>
            <w:tcW w:type="dxa" w:w="3450"/>
            <w:shd w:fill="EFF3EE" w:val="clear"/>
            <w:tcMar>
              <w:top w:type="dxa" w:w="90"/>
              <w:left w:type="dxa" w:w="110"/>
              <w:bottom w:type="dxa" w:w="90"/>
              <w:right w:type="dxa" w:w="110"/>
            </w:tcMar>
            <w:vAlign w:val="center"/>
          </w:tcPr>
          <w:p>
            <w:r>
              <w:rPr>
                <w:b w:val="false"/>
                <w:bCs w:val="false"/>
                <w:color w:val="1A1A1A"/>
                <w:sz w:val="19"/>
                <w:szCs w:val="19"/>
              </w:rPr>
              <w:t xml:space="preserve">Standard, cheap, scales without early re-architecture</w:t>
            </w:r>
          </w:p>
        </w:tc>
      </w:tr>
      <w:tr>
        <w:tc>
          <w:tcPr>
            <w:tcW w:type="dxa" w:w="2100"/>
            <w:shd w:fill="FFFFFF" w:val="clear"/>
            <w:tcMar>
              <w:top w:type="dxa" w:w="90"/>
              <w:left w:type="dxa" w:w="110"/>
              <w:bottom w:type="dxa" w:w="90"/>
              <w:right w:type="dxa" w:w="110"/>
            </w:tcMar>
            <w:vAlign w:val="center"/>
          </w:tcPr>
          <w:p>
            <w:r>
              <w:rPr>
                <w:b w:val="false"/>
                <w:bCs w:val="false"/>
                <w:color w:val="1A1A1A"/>
                <w:sz w:val="19"/>
                <w:szCs w:val="19"/>
              </w:rPr>
              <w:t xml:space="preserve">Sports data</w:t>
            </w:r>
          </w:p>
        </w:tc>
        <w:tc>
          <w:tcPr>
            <w:tcW w:type="dxa" w:w="3800"/>
            <w:shd w:fill="FFFFFF" w:val="clear"/>
            <w:tcMar>
              <w:top w:type="dxa" w:w="90"/>
              <w:left w:type="dxa" w:w="110"/>
              <w:bottom w:type="dxa" w:w="90"/>
              <w:right w:type="dxa" w:w="110"/>
            </w:tcMar>
            <w:vAlign w:val="center"/>
          </w:tcPr>
          <w:p>
            <w:r>
              <w:rPr>
                <w:b w:val="false"/>
                <w:bCs w:val="false"/>
                <w:color w:val="1A1A1A"/>
                <w:sz w:val="19"/>
                <w:szCs w:val="19"/>
              </w:rPr>
              <w:t xml:space="preserve">License a third-party football-data API (evaluate 2–3 vendors on coverage, latency and cost before committing)</w:t>
            </w:r>
          </w:p>
        </w:tc>
        <w:tc>
          <w:tcPr>
            <w:tcW w:type="dxa" w:w="3450"/>
            <w:shd w:fill="FFFFFF" w:val="clear"/>
            <w:tcMar>
              <w:top w:type="dxa" w:w="90"/>
              <w:left w:type="dxa" w:w="110"/>
              <w:bottom w:type="dxa" w:w="90"/>
              <w:right w:type="dxa" w:w="110"/>
            </w:tcMar>
            <w:vAlign w:val="center"/>
          </w:tcPr>
          <w:p>
            <w:r>
              <w:rPr>
                <w:b w:val="false"/>
                <w:bCs w:val="false"/>
                <w:color w:val="1A1A1A"/>
                <w:sz w:val="19"/>
                <w:szCs w:val="19"/>
              </w:rPr>
              <w:t xml:space="preserve">Building an in-house data-collection operation was already ruled out in Log Book Section 8.2 — do not revisit that</w:t>
            </w:r>
          </w:p>
        </w:tc>
      </w:tr>
      <w:tr>
        <w:tc>
          <w:tcPr>
            <w:tcW w:type="dxa" w:w="2100"/>
            <w:shd w:fill="EFF3EE" w:val="clear"/>
            <w:tcMar>
              <w:top w:type="dxa" w:w="90"/>
              <w:left w:type="dxa" w:w="110"/>
              <w:bottom w:type="dxa" w:w="90"/>
              <w:right w:type="dxa" w:w="110"/>
            </w:tcMar>
            <w:vAlign w:val="center"/>
          </w:tcPr>
          <w:p>
            <w:r>
              <w:rPr>
                <w:b w:val="false"/>
                <w:bCs w:val="false"/>
                <w:color w:val="1A1A1A"/>
                <w:sz w:val="19"/>
                <w:szCs w:val="19"/>
              </w:rPr>
              <w:t xml:space="preserve">Auth</w:t>
            </w:r>
          </w:p>
        </w:tc>
        <w:tc>
          <w:tcPr>
            <w:tcW w:type="dxa" w:w="3800"/>
            <w:shd w:fill="EFF3EE" w:val="clear"/>
            <w:tcMar>
              <w:top w:type="dxa" w:w="90"/>
              <w:left w:type="dxa" w:w="110"/>
              <w:bottom w:type="dxa" w:w="90"/>
              <w:right w:type="dxa" w:w="110"/>
            </w:tcMar>
            <w:vAlign w:val="center"/>
          </w:tcPr>
          <w:p>
            <w:r>
              <w:rPr>
                <w:b w:val="false"/>
                <w:bCs w:val="false"/>
                <w:color w:val="1A1A1A"/>
                <w:sz w:val="19"/>
                <w:szCs w:val="19"/>
              </w:rPr>
              <w:t xml:space="preserve">JWT + refresh tokens; evaluate a managed auth provider (e.g. Auth0/Firebase Auth) to save build time in Sprint 1</w:t>
            </w:r>
          </w:p>
        </w:tc>
        <w:tc>
          <w:tcPr>
            <w:tcW w:type="dxa" w:w="3450"/>
            <w:shd w:fill="EFF3EE" w:val="clear"/>
            <w:tcMar>
              <w:top w:type="dxa" w:w="90"/>
              <w:left w:type="dxa" w:w="110"/>
              <w:bottom w:type="dxa" w:w="90"/>
              <w:right w:type="dxa" w:w="110"/>
            </w:tcMar>
            <w:vAlign w:val="center"/>
          </w:tcPr>
          <w:p>
            <w:r>
              <w:rPr>
                <w:b w:val="false"/>
                <w:bCs w:val="false"/>
                <w:color w:val="1A1A1A"/>
                <w:sz w:val="19"/>
                <w:szCs w:val="19"/>
              </w:rPr>
              <w:t xml:space="preserve">Custom auth is a common place for early security mistakes; a managed provider buys safety and speed for an MVP timeline</w:t>
            </w:r>
          </w:p>
        </w:tc>
      </w:tr>
      <w:tr>
        <w:tc>
          <w:tcPr>
            <w:tcW w:type="dxa" w:w="2100"/>
            <w:shd w:fill="FFFFFF" w:val="clear"/>
            <w:tcMar>
              <w:top w:type="dxa" w:w="90"/>
              <w:left w:type="dxa" w:w="110"/>
              <w:bottom w:type="dxa" w:w="90"/>
              <w:right w:type="dxa" w:w="110"/>
            </w:tcMar>
            <w:vAlign w:val="center"/>
          </w:tcPr>
          <w:p>
            <w:r>
              <w:rPr>
                <w:b w:val="false"/>
                <w:bCs w:val="false"/>
                <w:color w:val="1A1A1A"/>
                <w:sz w:val="19"/>
                <w:szCs w:val="19"/>
              </w:rPr>
              <w:t xml:space="preserve">Hosting</w:t>
            </w:r>
          </w:p>
        </w:tc>
        <w:tc>
          <w:tcPr>
            <w:tcW w:type="dxa" w:w="3800"/>
            <w:shd w:fill="FFFFFF" w:val="clear"/>
            <w:tcMar>
              <w:top w:type="dxa" w:w="90"/>
              <w:left w:type="dxa" w:w="110"/>
              <w:bottom w:type="dxa" w:w="90"/>
              <w:right w:type="dxa" w:w="110"/>
            </w:tcMar>
            <w:vAlign w:val="center"/>
          </w:tcPr>
          <w:p>
            <w:r>
              <w:rPr>
                <w:b w:val="false"/>
                <w:bCs w:val="false"/>
                <w:color w:val="1A1A1A"/>
                <w:sz w:val="19"/>
                <w:szCs w:val="19"/>
              </w:rPr>
              <w:t xml:space="preserve">A managed container platform (e.g. AWS ECS/Fargate or a PaaS such as Render/Railway) over self-managed servers</w:t>
            </w:r>
          </w:p>
        </w:tc>
        <w:tc>
          <w:tcPr>
            <w:tcW w:type="dxa" w:w="3450"/>
            <w:shd w:fill="FFFFFF" w:val="clear"/>
            <w:tcMar>
              <w:top w:type="dxa" w:w="90"/>
              <w:left w:type="dxa" w:w="110"/>
              <w:bottom w:type="dxa" w:w="90"/>
              <w:right w:type="dxa" w:w="110"/>
            </w:tcMar>
            <w:vAlign w:val="center"/>
          </w:tcPr>
          <w:p>
            <w:r>
              <w:rPr>
                <w:b w:val="false"/>
                <w:bCs w:val="false"/>
                <w:color w:val="1A1A1A"/>
                <w:sz w:val="19"/>
                <w:szCs w:val="19"/>
              </w:rPr>
              <w:t xml:space="preserve">Minimises DevOps overhead for a two-developer team</w:t>
            </w:r>
          </w:p>
        </w:tc>
      </w:tr>
      <w:tr>
        <w:tc>
          <w:tcPr>
            <w:tcW w:type="dxa" w:w="2100"/>
            <w:shd w:fill="EFF3EE" w:val="clear"/>
            <w:tcMar>
              <w:top w:type="dxa" w:w="90"/>
              <w:left w:type="dxa" w:w="110"/>
              <w:bottom w:type="dxa" w:w="90"/>
              <w:right w:type="dxa" w:w="110"/>
            </w:tcMar>
            <w:vAlign w:val="center"/>
          </w:tcPr>
          <w:p>
            <w:r>
              <w:rPr>
                <w:b w:val="false"/>
                <w:bCs w:val="false"/>
                <w:color w:val="1A1A1A"/>
                <w:sz w:val="19"/>
                <w:szCs w:val="19"/>
              </w:rPr>
              <w:t xml:space="preserve">CI/CD</w:t>
            </w:r>
          </w:p>
        </w:tc>
        <w:tc>
          <w:tcPr>
            <w:tcW w:type="dxa" w:w="3800"/>
            <w:shd w:fill="EFF3EE" w:val="clear"/>
            <w:tcMar>
              <w:top w:type="dxa" w:w="90"/>
              <w:left w:type="dxa" w:w="110"/>
              <w:bottom w:type="dxa" w:w="90"/>
              <w:right w:type="dxa" w:w="110"/>
            </w:tcMar>
            <w:vAlign w:val="center"/>
          </w:tcPr>
          <w:p>
            <w:r>
              <w:rPr>
                <w:b w:val="false"/>
                <w:bCs w:val="false"/>
                <w:color w:val="1A1A1A"/>
                <w:sz w:val="19"/>
                <w:szCs w:val="19"/>
              </w:rPr>
              <w:t xml:space="preserve">GitHub Actions, with staging and production environments and preview deploys per pull request</w:t>
            </w:r>
          </w:p>
        </w:tc>
        <w:tc>
          <w:tcPr>
            <w:tcW w:type="dxa" w:w="3450"/>
            <w:shd w:fill="EFF3EE" w:val="clear"/>
            <w:tcMar>
              <w:top w:type="dxa" w:w="90"/>
              <w:left w:type="dxa" w:w="110"/>
              <w:bottom w:type="dxa" w:w="90"/>
              <w:right w:type="dxa" w:w="110"/>
            </w:tcMar>
            <w:vAlign w:val="center"/>
          </w:tcPr>
          <w:p>
            <w:r>
              <w:rPr>
                <w:b w:val="false"/>
                <w:bCs w:val="false"/>
                <w:color w:val="1A1A1A"/>
                <w:sz w:val="19"/>
                <w:szCs w:val="19"/>
              </w:rPr>
              <w:t xml:space="preserve">Standard, well-documented, integrates cleanly with the qa-reviewer agent in Section 11</w:t>
            </w:r>
          </w:p>
        </w:tc>
      </w:tr>
      <w:tr>
        <w:tc>
          <w:tcPr>
            <w:tcW w:type="dxa" w:w="2100"/>
            <w:shd w:fill="FFFFFF" w:val="clear"/>
            <w:tcMar>
              <w:top w:type="dxa" w:w="90"/>
              <w:left w:type="dxa" w:w="110"/>
              <w:bottom w:type="dxa" w:w="90"/>
              <w:right w:type="dxa" w:w="110"/>
            </w:tcMar>
            <w:vAlign w:val="center"/>
          </w:tcPr>
          <w:p>
            <w:r>
              <w:rPr>
                <w:b w:val="false"/>
                <w:bCs w:val="false"/>
                <w:color w:val="1A1A1A"/>
                <w:sz w:val="19"/>
                <w:szCs w:val="19"/>
              </w:rPr>
              <w:t xml:space="preserve">Error &amp; uptime monitoring</w:t>
            </w:r>
          </w:p>
        </w:tc>
        <w:tc>
          <w:tcPr>
            <w:tcW w:type="dxa" w:w="3800"/>
            <w:shd w:fill="FFFFFF" w:val="clear"/>
            <w:tcMar>
              <w:top w:type="dxa" w:w="90"/>
              <w:left w:type="dxa" w:w="110"/>
              <w:bottom w:type="dxa" w:w="90"/>
              <w:right w:type="dxa" w:w="110"/>
            </w:tcMar>
            <w:vAlign w:val="center"/>
          </w:tcPr>
          <w:p>
            <w:r>
              <w:rPr>
                <w:b w:val="false"/>
                <w:bCs w:val="false"/>
                <w:color w:val="1A1A1A"/>
                <w:sz w:val="19"/>
                <w:szCs w:val="19"/>
              </w:rPr>
              <w:t xml:space="preserve">Sentry for errors; a basic uptime checker (e.g. UptimeRobot or the hosting platform's built-in monitor)</w:t>
            </w:r>
          </w:p>
        </w:tc>
        <w:tc>
          <w:tcPr>
            <w:tcW w:type="dxa" w:w="3450"/>
            <w:shd w:fill="FFFFFF" w:val="clear"/>
            <w:tcMar>
              <w:top w:type="dxa" w:w="90"/>
              <w:left w:type="dxa" w:w="110"/>
              <w:bottom w:type="dxa" w:w="90"/>
              <w:right w:type="dxa" w:w="110"/>
            </w:tcMar>
            <w:vAlign w:val="center"/>
          </w:tcPr>
          <w:p>
            <w:r>
              <w:rPr>
                <w:b w:val="false"/>
                <w:bCs w:val="false"/>
                <w:color w:val="1A1A1A"/>
                <w:sz w:val="19"/>
                <w:szCs w:val="19"/>
              </w:rPr>
              <w:t xml:space="preserve">Non-negotiable before real users touch the product, including minors</w:t>
            </w:r>
          </w:p>
        </w:tc>
      </w:tr>
      <w:tr>
        <w:tc>
          <w:tcPr>
            <w:tcW w:type="dxa" w:w="2100"/>
            <w:shd w:fill="EFF3EE" w:val="clear"/>
            <w:tcMar>
              <w:top w:type="dxa" w:w="90"/>
              <w:left w:type="dxa" w:w="110"/>
              <w:bottom w:type="dxa" w:w="90"/>
              <w:right w:type="dxa" w:w="110"/>
            </w:tcMar>
            <w:vAlign w:val="center"/>
          </w:tcPr>
          <w:p>
            <w:r>
              <w:rPr>
                <w:b w:val="false"/>
                <w:bCs w:val="false"/>
                <w:color w:val="1A1A1A"/>
                <w:sz w:val="19"/>
                <w:szCs w:val="19"/>
              </w:rPr>
              <w:t xml:space="preserve">Repository structure</w:t>
            </w:r>
          </w:p>
        </w:tc>
        <w:tc>
          <w:tcPr>
            <w:tcW w:type="dxa" w:w="3800"/>
            <w:shd w:fill="EFF3EE" w:val="clear"/>
            <w:tcMar>
              <w:top w:type="dxa" w:w="90"/>
              <w:left w:type="dxa" w:w="110"/>
              <w:bottom w:type="dxa" w:w="90"/>
              <w:right w:type="dxa" w:w="110"/>
            </w:tcMar>
            <w:vAlign w:val="center"/>
          </w:tcPr>
          <w:p>
            <w:r>
              <w:rPr>
                <w:b w:val="false"/>
                <w:bCs w:val="false"/>
                <w:color w:val="1A1A1A"/>
                <w:sz w:val="19"/>
                <w:szCs w:val="19"/>
              </w:rPr>
              <w:t xml:space="preserve">Monorepo (apps/web, apps/mobile, apps/admin, services/api, packages/shared)</w:t>
            </w:r>
          </w:p>
        </w:tc>
        <w:tc>
          <w:tcPr>
            <w:tcW w:type="dxa" w:w="3450"/>
            <w:shd w:fill="EFF3EE" w:val="clear"/>
            <w:tcMar>
              <w:top w:type="dxa" w:w="90"/>
              <w:left w:type="dxa" w:w="110"/>
              <w:bottom w:type="dxa" w:w="90"/>
              <w:right w:type="dxa" w:w="110"/>
            </w:tcMar>
            <w:vAlign w:val="center"/>
          </w:tcPr>
          <w:p>
            <w:r>
              <w:rPr>
                <w:b w:val="false"/>
                <w:bCs w:val="false"/>
                <w:color w:val="1A1A1A"/>
                <w:sz w:val="19"/>
                <w:szCs w:val="19"/>
              </w:rPr>
              <w:t xml:space="preserve">One small team, one design system — a monorepo avoids version-drift overhead a split-repo setup would add for no benefit yet</w:t>
            </w:r>
          </w:p>
        </w:tc>
      </w:tr>
    </w:tbl>
    <w:p>
      <w:pPr>
        <w:pStyle w:val="Heading2"/>
        <w:spacing w:after="160" w:before="320"/>
      </w:pPr>
      <w:r>
        <w:t xml:space="preserve">5.5 Low-bandwidth engineering discipline (applies from day one)</w:t>
      </w:r>
    </w:p>
    <w:p>
      <w:pPr>
        <w:spacing w:after="160" w:line="276"/>
      </w:pPr>
      <w:r>
        <w:t xml:space="preserve">Full offline mode is deferred (Section 2.2), but Log Book Section 6.2 identifies low-bandwidth performance as essential to the target markets, and it is far cheaper to build in than to retrofit. Apply these practices from Sprint 1 onward, not as a later feature:</w:t>
      </w:r>
    </w:p>
    <w:p>
      <w:pPr>
        <w:pStyle w:val="ListParagraph"/>
        <w:numPr>
          <w:ilvl w:val="0"/>
          <w:numId w:val="2"/>
        </w:numPr>
        <w:spacing w:after="90"/>
      </w:pPr>
      <w:r>
        <w:t xml:space="preserve">Paginate and lazy-load all feed, search and match-data endpoints — never return unbounded lists.</w:t>
      </w:r>
    </w:p>
    <w:p>
      <w:pPr>
        <w:pStyle w:val="ListParagraph"/>
        <w:numPr>
          <w:ilvl w:val="0"/>
          <w:numId w:val="2"/>
        </w:numPr>
        <w:spacing w:after="90"/>
      </w:pPr>
      <w:r>
        <w:t xml:space="preserve">Serve responsively-sized images and compressed video by default; never ship an unoptimised original to a mobile client.</w:t>
      </w:r>
    </w:p>
    <w:p>
      <w:pPr>
        <w:pStyle w:val="ListParagraph"/>
        <w:numPr>
          <w:ilvl w:val="0"/>
          <w:numId w:val="2"/>
        </w:numPr>
        <w:spacing w:after="90"/>
      </w:pPr>
      <w:r>
        <w:t xml:space="preserve">Set a performance budget and test it under throttled 3G-equivalent conditions before each sprint's review, not only before launch.</w:t>
      </w:r>
    </w:p>
    <w:p>
      <w:pPr>
        <w:pStyle w:val="Heading2"/>
        <w:spacing w:after="160" w:before="320"/>
      </w:pPr>
      <w:r>
        <w:t xml:space="preserve">5.6 Branch strategy &amp; CI/CD workflow</w:t>
      </w:r>
    </w:p>
    <w:p>
      <w:pPr>
        <w:spacing w:after="160" w:line="276"/>
      </w:pPr>
      <w:r>
        <w:t xml:space="preserve">Two persistent branches, plus short-lived task branches — sized for a two-developer team, not a process built for a team this doesn't have yet.</w:t>
      </w:r>
    </w:p>
    <w:p>
      <w:pPr>
        <w:pStyle w:val="ListParagraph"/>
        <w:numPr>
          <w:ilvl w:val="0"/>
          <w:numId w:val="2"/>
        </w:numPr>
        <w:spacing w:after="90"/>
      </w:pPr>
      <w:r>
        <w:rPr>
          <w:b/>
          <w:bCs/>
        </w:rPr>
        <w:t xml:space="preserve">main. </w:t>
      </w:r>
      <w:r>
        <w:t xml:space="preserve">Production source of truth. Protected: nothing merges without the CI workflow passing and a review.</w:t>
      </w:r>
    </w:p>
    <w:p>
      <w:pPr>
        <w:pStyle w:val="ListParagraph"/>
        <w:numPr>
          <w:ilvl w:val="0"/>
          <w:numId w:val="2"/>
        </w:numPr>
        <w:spacing w:after="90"/>
      </w:pPr>
      <w:r>
        <w:rPr>
          <w:b/>
          <w:bCs/>
        </w:rPr>
        <w:t xml:space="preserve">staging. </w:t>
      </w:r>
      <w:r>
        <w:t xml:space="preserve">Pre-production, for testing a batch of merged work before it goes live.</w:t>
      </w:r>
    </w:p>
    <w:p>
      <w:pPr>
        <w:pStyle w:val="ListParagraph"/>
        <w:numPr>
          <w:ilvl w:val="0"/>
          <w:numId w:val="2"/>
        </w:numPr>
        <w:spacing w:after="90"/>
      </w:pPr>
      <w:r>
        <w:rPr>
          <w:b/>
          <w:bCs/>
        </w:rPr>
        <w:t xml:space="preserve">Task branches. </w:t>
      </w:r>
      <w:r>
        <w:t xml:space="preserve">One per agent task or sprint deliverable, named `sprint-&lt;id&gt;/&lt;short-description&gt;` (e.g. `sprint-d/design-tokens`, `sprint-1/guardian-consent-api`) so the sprint dependency in Section 6 is visible in the branch name itself. Deleted after merge.</w:t>
      </w:r>
    </w:p>
    <w:p>
      <w:pPr>
        <w:spacing w:after="160" w:line="276"/>
      </w:pPr>
      <w:r>
        <w:t xml:space="preserve">`ci.yml` runs the test suite and build on every push and pull request to `main` or `staging`. `deploy.yml` is wired to deploy automatically on push to either branch — but its actual deploy step is a deliberate placeholder that fails loudly (`exit 1`) rather than guessing a hosting provider. That's Decision Log item #9 (Section 9) and it stays open until the founder chooses one.</w:t>
      </w:r>
    </w:p>
    <w:p>
      <w:r>
        <w:br w:type="page"/>
      </w:r>
    </w:p>
    <w:p>
      <w:pPr>
        <w:pStyle w:val="Heading1"/>
        <w:spacing w:after="240" w:before="480"/>
      </w:pPr>
      <w:r>
        <w:rPr>
          <w:color w:val="C99A2E"/>
        </w:rPr>
        <w:t xml:space="preserve">6  </w:t>
      </w:r>
      <w:r>
        <w:t xml:space="preserve">Sprint-by-Sprint Backlog</w:t>
      </w:r>
    </w:p>
    <w:p>
      <w:pPr>
        <w:spacing w:after="160" w:line="276"/>
      </w:pPr>
      <w:r>
        <w:t xml:space="preserve">Seven build sprints plus one parallel design-foundation sprint, roughly 13–14 weeks total, sized for the current two-full-stack-developer team plus the Claude agents specified in Section 11. Each sprint lists its goal, concrete tasks and what “done” means for that sprint specifically — the full MVP definition of done is Section 7.</w:t>
      </w:r>
    </w:p>
    <w:p>
      <w:pPr>
        <w:spacing w:after="160" w:line="276"/>
      </w:pPr>
      <w:r>
        <w:rPr>
          <w:b/>
          <w:bCs/>
        </w:rPr>
        <w:t xml:space="preserve">A sequencing dependency that did not exist in the original plan: </w:t>
      </w:r>
      <w:r>
        <w:t xml:space="preserve">dark mode and several Sprint 1 screens (the guardian-consent flow specifically) do not exist in Figma yet. Sprint 0 and the new Sprint D below must run in parallel, and Sprint 1 cannot start its screen-building work until Sprint D's design output is ready — see Section 11 for exactly which agent produces what, in what order.</w:t>
      </w:r>
    </w:p>
    <w:p>
      <w:pPr>
        <w:pStyle w:val="Heading2"/>
        <w:spacing w:after="160" w:before="320"/>
      </w:pPr>
      <w:r>
        <w:t xml:space="preserve">Sprint D (parallel to Sprint 0, ~1–2 weeks) — Design Foundation</w:t>
      </w:r>
    </w:p>
    <w:p>
      <w:pPr>
        <w:spacing w:after="160" w:line="276"/>
      </w:pPr>
      <w:r>
        <w:rPr>
          <w:b/>
          <w:bCs/>
        </w:rPr>
        <w:t xml:space="preserve">Goal: </w:t>
      </w:r>
      <w:r>
        <w:t xml:space="preserve">a finished light/dark design system and a designed guardian-consent flow, so Sprint 1 has real screens to build against instead of screens that don't exist yet.</w:t>
      </w:r>
    </w:p>
    <w:p>
      <w:pPr>
        <w:pStyle w:val="ListParagraph"/>
        <w:numPr>
          <w:ilvl w:val="0"/>
          <w:numId w:val="2"/>
        </w:numPr>
        <w:spacing w:after="90"/>
      </w:pPr>
      <w:r>
        <w:t xml:space="preserve">Derive light/dark Figma Variables from Soccernity's existing brand colours (green #7BB929, navy #282E65) — no new palette. Run a contrast check on every text/background combination in both modes.</w:t>
      </w:r>
    </w:p>
    <w:p>
      <w:pPr>
        <w:pStyle w:val="ListParagraph"/>
        <w:numPr>
          <w:ilvl w:val="0"/>
          <w:numId w:val="2"/>
        </w:numPr>
        <w:spacing w:after="90"/>
      </w:pPr>
      <w:r>
        <w:t xml:space="preserve">Retouch the already-built Community, Sports Hub and Admin Console screens (Log Book Section 23.1) with the new tokens.</w:t>
      </w:r>
    </w:p>
    <w:p>
      <w:pPr>
        <w:pStyle w:val="ListParagraph"/>
        <w:numPr>
          <w:ilvl w:val="0"/>
          <w:numId w:val="2"/>
        </w:numPr>
        <w:spacing w:after="90"/>
      </w:pPr>
      <w:r>
        <w:t xml:space="preserve">Close the standing housekeeping tickets (Section 10 of this document) while frames are open: rename the 22 duplicate “Settings” frames, fix the “Settingd” typo, rename the nine generic component sets.</w:t>
      </w:r>
    </w:p>
    <w:p>
      <w:pPr>
        <w:pStyle w:val="ListParagraph"/>
        <w:numPr>
          <w:ilvl w:val="0"/>
          <w:numId w:val="2"/>
        </w:numPr>
        <w:spacing w:after="90"/>
      </w:pPr>
      <w:r>
        <w:t xml:space="preserve">Design the six guardian-consent-flow screens specified in Section 8.3 — this is the single highest-priority new screen in the entire backlog, since Sprint 1 cannot be built without it.</w:t>
      </w:r>
    </w:p>
    <w:p>
      <w:pPr>
        <w:spacing w:after="160" w:line="276"/>
      </w:pPr>
      <w:r>
        <w:rPr>
          <w:b/>
          <w:bCs/>
        </w:rPr>
        <w:t xml:space="preserve">Sprint done when: </w:t>
      </w:r>
      <w:r>
        <w:t xml:space="preserve">Figma has working Light/Dark modes on every existing screen, and the six guardian-consent screens exist and are marked ready for conversion to code.</w:t>
      </w:r>
    </w:p>
    <w:p>
      <w:pPr>
        <w:pStyle w:val="Heading2"/>
        <w:spacing w:after="160" w:before="320"/>
      </w:pPr>
      <w:r>
        <w:t xml:space="preserve">Sprint 0 (1 week, parallel to Sprint D) — Foundations</w:t>
      </w:r>
    </w:p>
    <w:p>
      <w:pPr>
        <w:spacing w:after="160" w:line="276"/>
      </w:pPr>
      <w:r>
        <w:rPr>
          <w:b/>
          <w:bCs/>
        </w:rPr>
        <w:t xml:space="preserve">Goal: </w:t>
      </w:r>
      <w:r>
        <w:t xml:space="preserve">a running skeleton every later sprint can build on.</w:t>
      </w:r>
    </w:p>
    <w:p>
      <w:pPr>
        <w:pStyle w:val="ListParagraph"/>
        <w:numPr>
          <w:ilvl w:val="0"/>
          <w:numId w:val="2"/>
        </w:numPr>
        <w:spacing w:after="90"/>
      </w:pPr>
      <w:r>
        <w:t xml:space="preserve">Set up the monorepo structure (Section 5), CI/CD pipeline, staging and production environments.</w:t>
      </w:r>
    </w:p>
    <w:p>
      <w:pPr>
        <w:pStyle w:val="ListParagraph"/>
        <w:numPr>
          <w:ilvl w:val="0"/>
          <w:numId w:val="2"/>
        </w:numPr>
        <w:spacing w:after="90"/>
      </w:pPr>
      <w:r>
        <w:t xml:space="preserve">Provision PostgreSQL and Redis; run the initial migration for the Section 3 entities.</w:t>
      </w:r>
    </w:p>
    <w:p>
      <w:pPr>
        <w:pStyle w:val="ListParagraph"/>
        <w:numPr>
          <w:ilvl w:val="0"/>
          <w:numId w:val="2"/>
        </w:numPr>
        <w:spacing w:after="90"/>
      </w:pPr>
      <w:r>
        <w:t xml:space="preserve">Sync the light/dark design tokens Sprint D produces into the shared frontend package as they become available — don't block on Sprint D finishing entirely, but don't hardcode colours ahead of the token set landing either.</w:t>
      </w:r>
    </w:p>
    <w:p>
      <w:pPr>
        <w:pStyle w:val="ListParagraph"/>
        <w:numPr>
          <w:ilvl w:val="0"/>
          <w:numId w:val="2"/>
        </w:numPr>
        <w:spacing w:after="90"/>
      </w:pPr>
      <w:r>
        <w:t xml:space="preserve">Stand up error monitoring and uptime checks.</w:t>
      </w:r>
    </w:p>
    <w:p>
      <w:pPr>
        <w:spacing w:after="160" w:line="276"/>
      </w:pPr>
      <w:r>
        <w:rPr>
          <w:b/>
          <w:bCs/>
        </w:rPr>
        <w:t xml:space="preserve">Sprint done when: </w:t>
      </w:r>
      <w:r>
        <w:t xml:space="preserve">a blank authenticated page deploys automatically to staging on every merge to main.</w:t>
      </w:r>
    </w:p>
    <w:p>
      <w:pPr>
        <w:pStyle w:val="Heading2"/>
        <w:spacing w:after="160" w:before="320"/>
      </w:pPr>
      <w:r>
        <w:t xml:space="preserve">Sprint 1 (2 weeks, starts once Sprint D's consent-flow screens are ready) — Auth, Users, Consent Foundation</w:t>
      </w:r>
    </w:p>
    <w:p>
      <w:pPr>
        <w:pStyle w:val="ListParagraph"/>
        <w:numPr>
          <w:ilvl w:val="0"/>
          <w:numId w:val="2"/>
        </w:numPr>
        <w:spacing w:after="90"/>
      </w:pPr>
      <w:r>
        <w:t xml:space="preserve">Build register/login/forgot/reset/verify-email against the Auth Service (Section 4.1).</w:t>
      </w:r>
    </w:p>
    <w:p>
      <w:pPr>
        <w:pStyle w:val="ListParagraph"/>
        <w:numPr>
          <w:ilvl w:val="0"/>
          <w:numId w:val="2"/>
        </w:numPr>
        <w:spacing w:after="90"/>
      </w:pPr>
      <w:r>
        <w:t xml:space="preserve">Build the age-declaration step at signup and the minor/guardian branch data model (Section 3, Guardian entity).</w:t>
      </w:r>
    </w:p>
    <w:p>
      <w:pPr>
        <w:pStyle w:val="ListParagraph"/>
        <w:numPr>
          <w:ilvl w:val="0"/>
          <w:numId w:val="2"/>
        </w:numPr>
        <w:spacing w:after="90"/>
      </w:pPr>
      <w:r>
        <w:t xml:space="preserve">Build the guardian-consent capture flow per the full specification in Section 8.3, from the six screens Sprint D designed — this is the single highest-priority item in this sprint.</w:t>
      </w:r>
    </w:p>
    <w:p>
      <w:pPr>
        <w:pStyle w:val="ListParagraph"/>
        <w:numPr>
          <w:ilvl w:val="0"/>
          <w:numId w:val="2"/>
        </w:numPr>
        <w:spacing w:after="90"/>
      </w:pPr>
      <w:r>
        <w:t xml:space="preserve">Build profile view/edit screens from the existing Figma Auth and Profile frames (Log Book Section 23.1).</w:t>
      </w:r>
    </w:p>
    <w:p>
      <w:pPr>
        <w:spacing w:after="160" w:line="276"/>
      </w:pPr>
      <w:r>
        <w:rPr>
          <w:b/>
          <w:bCs/>
        </w:rPr>
        <w:t xml:space="preserve">Sprint done when: </w:t>
      </w:r>
      <w:r>
        <w:t xml:space="preserve">a new user can register, verify email, declare age, and — if a minor — cannot access any public-facing profile feature until guardian consent is recorded.</w:t>
      </w:r>
    </w:p>
    <w:p>
      <w:pPr>
        <w:pStyle w:val="Heading2"/>
        <w:spacing w:after="160" w:before="320"/>
      </w:pPr>
      <w:r>
        <w:t xml:space="preserve">Sprint 2 (2 weeks) — Feed, Club Pages, Follow</w:t>
      </w:r>
    </w:p>
    <w:p>
      <w:pPr>
        <w:pStyle w:val="ListParagraph"/>
        <w:numPr>
          <w:ilvl w:val="0"/>
          <w:numId w:val="2"/>
        </w:numPr>
        <w:spacing w:after="90"/>
      </w:pPr>
      <w:r>
        <w:t xml:space="preserve">Build the Feed Service (Section 4.3): create/view/like/comment on posts, from the existing Figma feed and Create-Post frames.</w:t>
      </w:r>
    </w:p>
    <w:p>
      <w:pPr>
        <w:pStyle w:val="ListParagraph"/>
        <w:numPr>
          <w:ilvl w:val="0"/>
          <w:numId w:val="2"/>
        </w:numPr>
        <w:spacing w:after="90"/>
      </w:pPr>
      <w:r>
        <w:t xml:space="preserve">Build club fan pages with auto-join on signup (Section 4.4).</w:t>
      </w:r>
    </w:p>
    <w:p>
      <w:pPr>
        <w:pStyle w:val="ListParagraph"/>
        <w:numPr>
          <w:ilvl w:val="0"/>
          <w:numId w:val="2"/>
        </w:numPr>
        <w:spacing w:after="90"/>
      </w:pPr>
      <w:r>
        <w:t xml:space="preserve">Build Follow and Saved Posts.</w:t>
      </w:r>
    </w:p>
    <w:p>
      <w:pPr>
        <w:pStyle w:val="ListParagraph"/>
        <w:numPr>
          <w:ilvl w:val="0"/>
          <w:numId w:val="2"/>
        </w:numPr>
        <w:spacing w:after="90"/>
      </w:pPr>
      <w:r>
        <w:t xml:space="preserve">Wire the notification-trigger events (follow, comment, like) into the Notification entity, even though the full notification-centre UI ships in Sprint 3.</w:t>
      </w:r>
    </w:p>
    <w:p>
      <w:pPr>
        <w:spacing w:after="160" w:line="276"/>
      </w:pPr>
      <w:r>
        <w:rPr>
          <w:b/>
          <w:bCs/>
        </w:rPr>
        <w:t xml:space="preserve">Sprint done when: </w:t>
      </w:r>
      <w:r>
        <w:t xml:space="preserve">a user can post, follow another user or club, like/comment, and save a post, all reflected correctly on refresh.</w:t>
      </w:r>
    </w:p>
    <w:p>
      <w:pPr>
        <w:pStyle w:val="Heading2"/>
        <w:spacing w:after="160" w:before="320"/>
      </w:pPr>
      <w:r>
        <w:t xml:space="preserve">Sprint 3 (2 weeks) — Banter Rooms, Community Groups, Messaging, Notification Centre</w:t>
      </w:r>
    </w:p>
    <w:p>
      <w:pPr>
        <w:pStyle w:val="ListParagraph"/>
        <w:numPr>
          <w:ilvl w:val="0"/>
          <w:numId w:val="2"/>
        </w:numPr>
        <w:spacing w:after="90"/>
      </w:pPr>
      <w:r>
        <w:t xml:space="preserve">Build Banter Rooms — topic/club/league/country-scoped rooms with search and a “My Bants” view, from the existing, well-developed Figma Banter frames (Log Book Section 23.1).</w:t>
      </w:r>
    </w:p>
    <w:p>
      <w:pPr>
        <w:pStyle w:val="ListParagraph"/>
        <w:numPr>
          <w:ilvl w:val="0"/>
          <w:numId w:val="2"/>
        </w:numPr>
        <w:spacing w:after="90"/>
      </w:pPr>
      <w:r>
        <w:t xml:space="preserve">Design and build Community Groups — city-, position-, and career-track-based groups, confirmed as a distinct feature from Banter Rooms per the founder's resolution of Decision Log item #1 (Log Book Section 24.4). No Figma screen exists for this yet, so figma-screen-builder designs it first, the same as the Notification Center below — see Section 11 for the sequencing.</w:t>
      </w:r>
    </w:p>
    <w:p>
      <w:pPr>
        <w:pStyle w:val="ListParagraph"/>
        <w:numPr>
          <w:ilvl w:val="0"/>
          <w:numId w:val="2"/>
        </w:numPr>
        <w:spacing w:after="90"/>
      </w:pPr>
      <w:r>
        <w:t xml:space="preserve">Build direct messaging (conversations, message threads) from the existing Drop Down Components chat frames.</w:t>
      </w:r>
    </w:p>
    <w:p>
      <w:pPr>
        <w:pStyle w:val="ListParagraph"/>
        <w:numPr>
          <w:ilvl w:val="0"/>
          <w:numId w:val="2"/>
        </w:numPr>
        <w:spacing w:after="90"/>
      </w:pPr>
      <w:r>
        <w:t xml:space="preserve">Build the full-page Notification Centre — the one screen Log Book Section 24.3 confirmed does not yet exist as a page, only as a dropdown.</w:t>
      </w:r>
    </w:p>
    <w:p>
      <w:pPr>
        <w:spacing w:after="160" w:line="276"/>
      </w:pPr>
      <w:r>
        <w:rPr>
          <w:b/>
          <w:bCs/>
        </w:rPr>
        <w:t xml:space="preserve">Sprint done when: </w:t>
      </w:r>
      <w:r>
        <w:t xml:space="preserve">a user can create/join a Banter Room, separately create/join a Community Group, send and receive a DM, and see a persistent notification history, not just a dropdown.</w:t>
      </w:r>
    </w:p>
    <w:p>
      <w:pPr>
        <w:pStyle w:val="Heading2"/>
        <w:spacing w:after="160" w:before="320"/>
      </w:pPr>
      <w:r>
        <w:t xml:space="preserve">Sprint 4 (2 weeks) — Sports Hub</w:t>
      </w:r>
    </w:p>
    <w:p>
      <w:pPr>
        <w:pStyle w:val="ListParagraph"/>
        <w:numPr>
          <w:ilvl w:val="0"/>
          <w:numId w:val="2"/>
        </w:numPr>
        <w:spacing w:after="90"/>
      </w:pPr>
      <w:r>
        <w:t xml:space="preserve">Integrate the licensed sports-data vendor selected per Section 5 and Section 9, item 6.</w:t>
      </w:r>
    </w:p>
    <w:p>
      <w:pPr>
        <w:pStyle w:val="ListParagraph"/>
        <w:numPr>
          <w:ilvl w:val="0"/>
          <w:numId w:val="2"/>
        </w:numPr>
        <w:spacing w:after="90"/>
      </w:pPr>
      <w:r>
        <w:t xml:space="preserve">Build live scores, fixtures, and the full match centre (details, stats, lineups, H2H, standings) from the existing, thorough Figma match-centre frames (Log Book Section 23.1).</w:t>
      </w:r>
    </w:p>
    <w:p>
      <w:pPr>
        <w:pStyle w:val="ListParagraph"/>
        <w:numPr>
          <w:ilvl w:val="0"/>
          <w:numId w:val="2"/>
        </w:numPr>
        <w:spacing w:after="90"/>
      </w:pPr>
      <w:r>
        <w:t xml:space="preserve">Build the news/blog feed and article detail pages from the existing Blog/Articles frames.</w:t>
      </w:r>
    </w:p>
    <w:p>
      <w:pPr>
        <w:pStyle w:val="ListParagraph"/>
        <w:numPr>
          <w:ilvl w:val="0"/>
          <w:numId w:val="2"/>
        </w:numPr>
        <w:spacing w:after="90"/>
      </w:pPr>
      <w:r>
        <w:t xml:space="preserve">Build video highlights playback.</w:t>
      </w:r>
    </w:p>
    <w:p>
      <w:pPr>
        <w:spacing w:after="160" w:line="276"/>
      </w:pPr>
      <w:r>
        <w:rPr>
          <w:b/>
          <w:bCs/>
        </w:rPr>
        <w:t xml:space="preserve">Sprint done when: </w:t>
      </w:r>
      <w:r>
        <w:t xml:space="preserve">live scores update correctly against a real fixture, and a full match-centre drill-down works end to end for at least one league.</w:t>
      </w:r>
    </w:p>
    <w:p>
      <w:pPr>
        <w:pStyle w:val="Heading2"/>
        <w:spacing w:after="160" w:before="320"/>
      </w:pPr>
      <w:r>
        <w:t xml:space="preserve">Sprint 5 (2 weeks) — Admin Console &amp; Grassroots Records</w:t>
      </w:r>
    </w:p>
    <w:p>
      <w:pPr>
        <w:pStyle w:val="ListParagraph"/>
        <w:numPr>
          <w:ilvl w:val="0"/>
          <w:numId w:val="2"/>
        </w:numPr>
        <w:spacing w:after="90"/>
      </w:pPr>
      <w:r>
        <w:t xml:space="preserve">Build the Admin dashboard, article/category management, media library and user management directly from the existing, fully-designed Admin Console frames (Log Book Section 6.6, 23.1) — this pillar is already 5/5 designed, so this sprint is largely implementation, not design.</w:t>
      </w:r>
    </w:p>
    <w:p>
      <w:pPr>
        <w:pStyle w:val="ListParagraph"/>
        <w:numPr>
          <w:ilvl w:val="0"/>
          <w:numId w:val="2"/>
        </w:numPr>
        <w:spacing w:after="90"/>
      </w:pPr>
      <w:r>
        <w:t xml:space="preserve">Build the moderation queue (new — Report entity, admin review screen, action + user-notification flow) per Section 8.4.</w:t>
      </w:r>
    </w:p>
    <w:p>
      <w:pPr>
        <w:pStyle w:val="ListParagraph"/>
        <w:numPr>
          <w:ilvl w:val="0"/>
          <w:numId w:val="2"/>
        </w:numPr>
        <w:spacing w:after="90"/>
      </w:pPr>
      <w:r>
        <w:t xml:space="preserve">Build the Grassroots Record-Keeping feature from scratch — team/league profile creation, fixture entry, result logging, public team page — since this has no prior Figma screen and is the concrete form of the Section 2.1 blue-ocean wedge.</w:t>
      </w:r>
    </w:p>
    <w:p>
      <w:pPr>
        <w:spacing w:after="160" w:line="276"/>
      </w:pPr>
      <w:r>
        <w:rPr>
          <w:b/>
          <w:bCs/>
        </w:rPr>
        <w:t xml:space="preserve">Sprint done when: </w:t>
      </w:r>
      <w:r>
        <w:t xml:space="preserve">an admin can publish an article and action a report end to end, and a coach/organiser can register an informal team and log a result visible on a public page.</w:t>
      </w:r>
    </w:p>
    <w:p>
      <w:pPr>
        <w:pStyle w:val="Heading2"/>
        <w:spacing w:after="160" w:before="320"/>
      </w:pPr>
      <w:r>
        <w:t xml:space="preserve">Sprint 6 (2 weeks) — Search, Leaderboard, Hardening, Launch Prep</w:t>
      </w:r>
    </w:p>
    <w:p>
      <w:pPr>
        <w:pStyle w:val="ListParagraph"/>
        <w:numPr>
          <w:ilvl w:val="0"/>
          <w:numId w:val="2"/>
        </w:numPr>
        <w:spacing w:after="90"/>
      </w:pPr>
      <w:r>
        <w:t xml:space="preserve">Build search &amp; trending discovery and the read-only leaderboard from existing Figma frames.</w:t>
      </w:r>
    </w:p>
    <w:p>
      <w:pPr>
        <w:pStyle w:val="ListParagraph"/>
        <w:numPr>
          <w:ilvl w:val="0"/>
          <w:numId w:val="2"/>
        </w:numPr>
        <w:spacing w:after="90"/>
      </w:pPr>
      <w:r>
        <w:t xml:space="preserve">Consolidate the 22 duplicate Figma “Settings” frames (Section 10) into one clean, tabbed settings screen.</w:t>
      </w:r>
    </w:p>
    <w:p>
      <w:pPr>
        <w:pStyle w:val="ListParagraph"/>
        <w:numPr>
          <w:ilvl w:val="0"/>
          <w:numId w:val="2"/>
        </w:numPr>
        <w:spacing w:after="90"/>
      </w:pPr>
      <w:r>
        <w:t xml:space="preserve">Full QA pass against Section 7's definition of done, including performance budget testing under throttled conditions (Section 5.5).</w:t>
      </w:r>
    </w:p>
    <w:p>
      <w:pPr>
        <w:pStyle w:val="ListParagraph"/>
        <w:numPr>
          <w:ilvl w:val="0"/>
          <w:numId w:val="2"/>
        </w:numPr>
        <w:spacing w:after="90"/>
      </w:pPr>
      <w:r>
        <w:t xml:space="preserve">Legal/safeguarding review of the guardian-consent flow (Section 8) and DPIA (Section 8.1) before any real minor's data is collected in production.</w:t>
      </w:r>
    </w:p>
    <w:p>
      <w:pPr>
        <w:pStyle w:val="ListParagraph"/>
        <w:numPr>
          <w:ilvl w:val="0"/>
          <w:numId w:val="2"/>
        </w:numPr>
        <w:spacing w:after="90"/>
      </w:pPr>
      <w:r>
        <w:t xml:space="preserve">Seed initial beachhead-city content: at least a handful of real or pilot clubs, teams and fixtures, so the app is not empty on day one.</w:t>
      </w:r>
    </w:p>
    <w:p>
      <w:pPr>
        <w:spacing w:after="160" w:line="276"/>
      </w:pPr>
      <w:r>
        <w:rPr>
          <w:b/>
          <w:bCs/>
        </w:rPr>
        <w:t xml:space="preserve">Sprint done when: </w:t>
      </w:r>
      <w:r>
        <w:t xml:space="preserve">every item in Section 7 is checked off.</w:t>
      </w:r>
    </w:p>
    <w:p>
      <w:r>
        <w:br w:type="page"/>
      </w:r>
    </w:p>
    <w:p>
      <w:pPr>
        <w:pStyle w:val="Heading1"/>
        <w:spacing w:after="240" w:before="480"/>
      </w:pPr>
      <w:r>
        <w:rPr>
          <w:color w:val="C99A2E"/>
        </w:rPr>
        <w:t xml:space="preserve">7  </w:t>
      </w:r>
      <w:r>
        <w:t xml:space="preserve">Definition of Done</w:t>
      </w:r>
    </w:p>
    <w:p>
      <w:pPr>
        <w:spacing w:after="160" w:line="276"/>
      </w:pPr>
      <w:r>
        <w:t xml:space="preserve">MVP v1 is complete when every item below is true, checked in this order. Do not treat this as a soft guideline — the safeguarding items are hard blockers on launch, not nice-to-haves.</w:t>
      </w:r>
    </w:p>
    <w:p>
      <w:pPr>
        <w:pStyle w:val="ListParagraph"/>
        <w:numPr>
          <w:ilvl w:val="0"/>
          <w:numId w:val="2"/>
        </w:numPr>
        <w:spacing w:after="90"/>
      </w:pPr>
      <w:r>
        <w:t xml:space="preserve">All Sprint 1–6 features are functional end-to-end on staging with no P0 (blocking) or P1 (major) bugs open.</w:t>
      </w:r>
    </w:p>
    <w:p>
      <w:pPr>
        <w:pStyle w:val="ListParagraph"/>
        <w:numPr>
          <w:ilvl w:val="0"/>
          <w:numId w:val="2"/>
        </w:numPr>
        <w:spacing w:after="90"/>
      </w:pPr>
      <w:r>
        <w:t xml:space="preserve">The age-gate correctly blocks signup below the applicable regional minimum age, and captures guardian consent for every minor account before that account's profile becomes visible to anyone outside the guardian relationship (Section 8.3).</w:t>
      </w:r>
    </w:p>
    <w:p>
      <w:pPr>
        <w:pStyle w:val="ListParagraph"/>
        <w:numPr>
          <w:ilvl w:val="0"/>
          <w:numId w:val="2"/>
        </w:numPr>
        <w:spacing w:after="90"/>
      </w:pPr>
      <w:r>
        <w:t xml:space="preserve">The moderation queue is operational: a report can be submitted, reviewed by an admin, actioned, and the reporting and reported users both notified.</w:t>
      </w:r>
    </w:p>
    <w:p>
      <w:pPr>
        <w:pStyle w:val="ListParagraph"/>
        <w:numPr>
          <w:ilvl w:val="0"/>
          <w:numId w:val="2"/>
        </w:numPr>
        <w:spacing w:after="90"/>
      </w:pPr>
      <w:r>
        <w:t xml:space="preserve">A DPIA has been drafted (Section 8.1) and reviewed by legal counsel — not merely drafted by an agent and left unreviewed.</w:t>
      </w:r>
    </w:p>
    <w:p>
      <w:pPr>
        <w:pStyle w:val="ListParagraph"/>
        <w:numPr>
          <w:ilvl w:val="0"/>
          <w:numId w:val="2"/>
        </w:numPr>
        <w:spacing w:after="90"/>
      </w:pPr>
      <w:r>
        <w:t xml:space="preserve">Privacy Policy and Terms of Service are published and linked from signup.</w:t>
      </w:r>
    </w:p>
    <w:p>
      <w:pPr>
        <w:pStyle w:val="ListParagraph"/>
        <w:numPr>
          <w:ilvl w:val="0"/>
          <w:numId w:val="2"/>
        </w:numPr>
        <w:spacing w:after="90"/>
      </w:pPr>
      <w:r>
        <w:t xml:space="preserve">Core pages meet the Section 5.5 performance budget under throttled, 3G-equivalent conditions.</w:t>
      </w:r>
    </w:p>
    <w:p>
      <w:pPr>
        <w:pStyle w:val="ListParagraph"/>
        <w:numPr>
          <w:ilvl w:val="0"/>
          <w:numId w:val="2"/>
        </w:numPr>
        <w:spacing w:after="90"/>
      </w:pPr>
      <w:r>
        <w:t xml:space="preserve">Error monitoring and uptime checks are live in production, not just staging.</w:t>
      </w:r>
    </w:p>
    <w:p>
      <w:pPr>
        <w:pStyle w:val="ListParagraph"/>
        <w:numPr>
          <w:ilvl w:val="0"/>
          <w:numId w:val="2"/>
        </w:numPr>
        <w:spacing w:after="90"/>
      </w:pPr>
      <w:r>
        <w:t xml:space="preserve">The beachhead city has real seeded content — clubs, teams, at least one live or recent fixture — so a first user's experience is not an empty app.</w:t>
      </w:r>
    </w:p>
    <w:p>
      <w:pPr>
        <w:pStyle w:val="ListParagraph"/>
        <w:numPr>
          <w:ilvl w:val="0"/>
          <w:numId w:val="2"/>
        </w:numPr>
        <w:spacing w:after="90"/>
      </w:pPr>
      <w:r>
        <w:t xml:space="preserve">The 22 duplicate “Settings” Figma frames have been consolidated into one screen in both design and code (Section 10).</w:t>
      </w:r>
    </w:p>
    <w:p>
      <w:pPr>
        <w:pStyle w:val="ListParagraph"/>
        <w:numPr>
          <w:ilvl w:val="0"/>
          <w:numId w:val="2"/>
        </w:numPr>
        <w:spacing w:after="90"/>
      </w:pPr>
      <w:r>
        <w:t xml:space="preserve">Every item in Section 9's Consolidated Decision Log is either resolved or explicitly accepted as an open risk by the founder before launch — none should still be silently unresolved.</w:t>
      </w:r>
    </w:p>
    <w:p>
      <w:r>
        <w:br w:type="page"/>
      </w:r>
    </w:p>
    <w:p>
      <w:pPr>
        <w:pStyle w:val="Heading1"/>
        <w:spacing w:after="240" w:before="480"/>
      </w:pPr>
      <w:r>
        <w:rPr>
          <w:color w:val="C99A2E"/>
        </w:rPr>
        <w:t xml:space="preserve">8  </w:t>
      </w:r>
      <w:r>
        <w:t xml:space="preserve">Safeguarding Deliverables</w:t>
      </w:r>
    </w:p>
    <w:p>
      <w:pPr>
        <w:spacing w:after="160" w:line="276"/>
      </w:pPr>
      <w:r>
        <w:t xml:space="preserve">Log Book Section 24.5 identified the age-verification / guardian-consent workflow as the single largest undocumented gap in the entire project, present nowhere as an actual screen or specification. This section closes that gap directly — not with a principle, but with a workflow an engineer can build this sprint.</w:t>
      </w:r>
    </w:p>
    <w:p>
      <w:pPr>
        <w:pStyle w:val="Heading2"/>
        <w:spacing w:after="160" w:before="320"/>
      </w:pPr>
      <w:r>
        <w:t xml:space="preserve">8.1 DPIA outline</w:t>
      </w:r>
    </w:p>
    <w:p>
      <w:pPr>
        <w:spacing w:after="160" w:line="276"/>
      </w:pPr>
      <w:r>
        <w:t xml:space="preserve">A Data Protection Impact Assessment is a practical UK GDPR requirement given this product processes minors' data, not optional paperwork. It must be reviewed and signed off by the safeguarding/legal counsel identified as a priority hire in Log Book Section 15, and should contain, at minimum:</w:t>
      </w:r>
    </w:p>
    <w:p>
      <w:pPr>
        <w:pStyle w:val="ListParagraph"/>
        <w:numPr>
          <w:ilvl w:val="0"/>
          <w:numId w:val="2"/>
        </w:numPr>
        <w:spacing w:after="90"/>
      </w:pPr>
      <w:r>
        <w:t xml:space="preserve">A description of the processing: what data is collected from minors, why, and how (registration, Combine footage in later phases, guardian consent records).</w:t>
      </w:r>
    </w:p>
    <w:p>
      <w:pPr>
        <w:pStyle w:val="ListParagraph"/>
        <w:numPr>
          <w:ilvl w:val="0"/>
          <w:numId w:val="2"/>
        </w:numPr>
        <w:spacing w:after="90"/>
      </w:pPr>
      <w:r>
        <w:t xml:space="preserve">A necessity and proportionality assessment — why each data point is required for the product to function.</w:t>
      </w:r>
    </w:p>
    <w:p>
      <w:pPr>
        <w:pStyle w:val="ListParagraph"/>
        <w:numPr>
          <w:ilvl w:val="0"/>
          <w:numId w:val="2"/>
        </w:numPr>
        <w:spacing w:after="90"/>
      </w:pPr>
      <w:r>
        <w:t xml:space="preserve">Identified risks to minors specifically (e.g. unwanted contact, data exposure, profiling).</w:t>
      </w:r>
    </w:p>
    <w:p>
      <w:pPr>
        <w:pStyle w:val="ListParagraph"/>
        <w:numPr>
          <w:ilvl w:val="0"/>
          <w:numId w:val="2"/>
        </w:numPr>
        <w:spacing w:after="90"/>
      </w:pPr>
      <w:r>
        <w:t xml:space="preserve">Mitigations for each identified risk, cross-referenced to the relevant product control (e.g. “unverified scout contact” mitigated by the guardian-visible messaging gate in Log Book Section 6.1).</w:t>
      </w:r>
    </w:p>
    <w:p>
      <w:pPr>
        <w:pStyle w:val="ListParagraph"/>
        <w:numPr>
          <w:ilvl w:val="0"/>
          <w:numId w:val="2"/>
        </w:numPr>
        <w:spacing w:after="90"/>
      </w:pPr>
      <w:r>
        <w:t xml:space="preserve">A named sign-off from legal counsel, dated, before any minor's data is processed in production.</w:t>
      </w:r>
    </w:p>
    <w:p>
      <w:pPr>
        <w:pStyle w:val="Heading2"/>
        <w:spacing w:after="160" w:before="320"/>
      </w:pPr>
      <w:r>
        <w:t xml:space="preserve">8.2 Data retention policy skeleton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50"/>
        <w:gridCol w:w="3300"/>
        <w:gridCol w:w="3000"/>
      </w:tblGrid>
      <w:tr>
        <w:trPr>
          <w:tblHeader/>
        </w:trPr>
        <w:tc>
          <w:tcPr>
            <w:tcW w:type="dxa" w:w="3050"/>
            <w:shd w:fill="12213A" w:val="clear"/>
            <w:tcMar>
              <w:top w:type="dxa" w:w="90"/>
              <w:left w:type="dxa" w:w="110"/>
              <w:bottom w:type="dxa" w:w="90"/>
              <w:right w:type="dxa" w:w="110"/>
            </w:tcMar>
            <w:vAlign w:val="center"/>
          </w:tcPr>
          <w:p>
            <w:r>
              <w:rPr>
                <w:b/>
                <w:bCs/>
                <w:color w:val="FFFFFF"/>
                <w:sz w:val="19"/>
                <w:szCs w:val="19"/>
              </w:rPr>
              <w:t xml:space="preserve">Data type</w:t>
            </w:r>
          </w:p>
        </w:tc>
        <w:tc>
          <w:tcPr>
            <w:tcW w:type="dxa" w:w="3300"/>
            <w:shd w:fill="12213A" w:val="clear"/>
            <w:tcMar>
              <w:top w:type="dxa" w:w="90"/>
              <w:left w:type="dxa" w:w="110"/>
              <w:bottom w:type="dxa" w:w="90"/>
              <w:right w:type="dxa" w:w="110"/>
            </w:tcMar>
            <w:vAlign w:val="center"/>
          </w:tcPr>
          <w:p>
            <w:r>
              <w:rPr>
                <w:b/>
                <w:bCs/>
                <w:color w:val="FFFFFF"/>
                <w:sz w:val="19"/>
                <w:szCs w:val="19"/>
              </w:rPr>
              <w:t xml:space="preserve">Retention period</w:t>
            </w:r>
          </w:p>
        </w:tc>
        <w:tc>
          <w:tcPr>
            <w:tcW w:type="dxa" w:w="3000"/>
            <w:shd w:fill="12213A" w:val="clear"/>
            <w:tcMar>
              <w:top w:type="dxa" w:w="90"/>
              <w:left w:type="dxa" w:w="110"/>
              <w:bottom w:type="dxa" w:w="90"/>
              <w:right w:type="dxa" w:w="110"/>
            </w:tcMar>
            <w:vAlign w:val="center"/>
          </w:tcPr>
          <w:p>
            <w:r>
              <w:rPr>
                <w:b/>
                <w:bCs/>
                <w:color w:val="FFFFFF"/>
                <w:sz w:val="19"/>
                <w:szCs w:val="19"/>
              </w:rPr>
              <w:t xml:space="preserve">Deletion trigger</w:t>
            </w:r>
          </w:p>
        </w:tc>
      </w:tr>
      <w:tr>
        <w:tc>
          <w:tcPr>
            <w:tcW w:type="dxa" w:w="3050"/>
            <w:shd w:fill="FFFFFF" w:val="clear"/>
            <w:tcMar>
              <w:top w:type="dxa" w:w="90"/>
              <w:left w:type="dxa" w:w="110"/>
              <w:bottom w:type="dxa" w:w="90"/>
              <w:right w:type="dxa" w:w="110"/>
            </w:tcMar>
            <w:vAlign w:val="center"/>
          </w:tcPr>
          <w:p>
            <w:r>
              <w:rPr>
                <w:b w:val="false"/>
                <w:bCs w:val="false"/>
                <w:color w:val="1A1A1A"/>
                <w:sz w:val="19"/>
                <w:szCs w:val="19"/>
              </w:rPr>
              <w:t xml:space="preserve">Minor account data (profile, guardian consent record)</w:t>
            </w:r>
          </w:p>
        </w:tc>
        <w:tc>
          <w:tcPr>
            <w:tcW w:type="dxa" w:w="3300"/>
            <w:shd w:fill="FFFFFF" w:val="clear"/>
            <w:tcMar>
              <w:top w:type="dxa" w:w="90"/>
              <w:left w:type="dxa" w:w="110"/>
              <w:bottom w:type="dxa" w:w="90"/>
              <w:right w:type="dxa" w:w="110"/>
            </w:tcMar>
            <w:vAlign w:val="center"/>
          </w:tcPr>
          <w:p>
            <w:r>
              <w:rPr>
                <w:b w:val="false"/>
                <w:bCs w:val="false"/>
                <w:color w:val="1A1A1A"/>
                <w:sz w:val="19"/>
                <w:szCs w:val="19"/>
              </w:rPr>
              <w:t xml:space="preserve">Duration of active use, plus a defined grace period after account closure</w:t>
            </w:r>
          </w:p>
        </w:tc>
        <w:tc>
          <w:tcPr>
            <w:tcW w:type="dxa" w:w="3000"/>
            <w:shd w:fill="FFFFFF" w:val="clear"/>
            <w:tcMar>
              <w:top w:type="dxa" w:w="90"/>
              <w:left w:type="dxa" w:w="110"/>
              <w:bottom w:type="dxa" w:w="90"/>
              <w:right w:type="dxa" w:w="110"/>
            </w:tcMar>
            <w:vAlign w:val="center"/>
          </w:tcPr>
          <w:p>
            <w:r>
              <w:rPr>
                <w:b w:val="false"/>
                <w:bCs w:val="false"/>
                <w:color w:val="1A1A1A"/>
                <w:sz w:val="19"/>
                <w:szCs w:val="19"/>
              </w:rPr>
              <w:t xml:space="preserve">Account deletion request, or automatic review at age of majority</w:t>
            </w:r>
          </w:p>
        </w:tc>
      </w:tr>
      <w:tr>
        <w:tc>
          <w:tcPr>
            <w:tcW w:type="dxa" w:w="3050"/>
            <w:shd w:fill="EFF3EE" w:val="clear"/>
            <w:tcMar>
              <w:top w:type="dxa" w:w="90"/>
              <w:left w:type="dxa" w:w="110"/>
              <w:bottom w:type="dxa" w:w="90"/>
              <w:right w:type="dxa" w:w="110"/>
            </w:tcMar>
            <w:vAlign w:val="center"/>
          </w:tcPr>
          <w:p>
            <w:r>
              <w:rPr>
                <w:b w:val="false"/>
                <w:bCs w:val="false"/>
                <w:color w:val="1A1A1A"/>
                <w:sz w:val="19"/>
                <w:szCs w:val="19"/>
              </w:rPr>
              <w:t xml:space="preserve">Guardian consent records</w:t>
            </w:r>
          </w:p>
        </w:tc>
        <w:tc>
          <w:tcPr>
            <w:tcW w:type="dxa" w:w="3300"/>
            <w:shd w:fill="EFF3EE" w:val="clear"/>
            <w:tcMar>
              <w:top w:type="dxa" w:w="90"/>
              <w:left w:type="dxa" w:w="110"/>
              <w:bottom w:type="dxa" w:w="90"/>
              <w:right w:type="dxa" w:w="110"/>
            </w:tcMar>
            <w:vAlign w:val="center"/>
          </w:tcPr>
          <w:p>
            <w:r>
              <w:rPr>
                <w:b w:val="false"/>
                <w:bCs w:val="false"/>
                <w:color w:val="1A1A1A"/>
                <w:sz w:val="19"/>
                <w:szCs w:val="19"/>
              </w:rPr>
              <w:t xml:space="preserve">Retained as long as the linked minor account is active, as proof of consent</w:t>
            </w:r>
          </w:p>
        </w:tc>
        <w:tc>
          <w:tcPr>
            <w:tcW w:type="dxa" w:w="3000"/>
            <w:shd w:fill="EFF3EE" w:val="clear"/>
            <w:tcMar>
              <w:top w:type="dxa" w:w="90"/>
              <w:left w:type="dxa" w:w="110"/>
              <w:bottom w:type="dxa" w:w="90"/>
              <w:right w:type="dxa" w:w="110"/>
            </w:tcMar>
            <w:vAlign w:val="center"/>
          </w:tcPr>
          <w:p>
            <w:r>
              <w:rPr>
                <w:b w:val="false"/>
                <w:bCs w:val="false"/>
                <w:color w:val="1A1A1A"/>
                <w:sz w:val="19"/>
                <w:szCs w:val="19"/>
              </w:rPr>
              <w:t xml:space="preserve">Deleted with the linked account, subject to any legal retention minimum</w:t>
            </w:r>
          </w:p>
        </w:tc>
      </w:tr>
      <w:tr>
        <w:tc>
          <w:tcPr>
            <w:tcW w:type="dxa" w:w="3050"/>
            <w:shd w:fill="FFFFFF" w:val="clear"/>
            <w:tcMar>
              <w:top w:type="dxa" w:w="90"/>
              <w:left w:type="dxa" w:w="110"/>
              <w:bottom w:type="dxa" w:w="90"/>
              <w:right w:type="dxa" w:w="110"/>
            </w:tcMar>
            <w:vAlign w:val="center"/>
          </w:tcPr>
          <w:p>
            <w:r>
              <w:rPr>
                <w:b w:val="false"/>
                <w:bCs w:val="false"/>
                <w:color w:val="1A1A1A"/>
                <w:sz w:val="19"/>
                <w:szCs w:val="19"/>
              </w:rPr>
              <w:t xml:space="preserve">Messages between users</w:t>
            </w:r>
          </w:p>
        </w:tc>
        <w:tc>
          <w:tcPr>
            <w:tcW w:type="dxa" w:w="3300"/>
            <w:shd w:fill="FFFFFF" w:val="clear"/>
            <w:tcMar>
              <w:top w:type="dxa" w:w="90"/>
              <w:left w:type="dxa" w:w="110"/>
              <w:bottom w:type="dxa" w:w="90"/>
              <w:right w:type="dxa" w:w="110"/>
            </w:tcMar>
            <w:vAlign w:val="center"/>
          </w:tcPr>
          <w:p>
            <w:r>
              <w:rPr>
                <w:b w:val="false"/>
                <w:bCs w:val="false"/>
                <w:color w:val="1A1A1A"/>
                <w:sz w:val="19"/>
                <w:szCs w:val="19"/>
              </w:rPr>
              <w:t xml:space="preserve">Rolling window (e.g. 12 months), reviewable by policy</w:t>
            </w:r>
          </w:p>
        </w:tc>
        <w:tc>
          <w:tcPr>
            <w:tcW w:type="dxa" w:w="3000"/>
            <w:shd w:fill="FFFFFF" w:val="clear"/>
            <w:tcMar>
              <w:top w:type="dxa" w:w="90"/>
              <w:left w:type="dxa" w:w="110"/>
              <w:bottom w:type="dxa" w:w="90"/>
              <w:right w:type="dxa" w:w="110"/>
            </w:tcMar>
            <w:vAlign w:val="center"/>
          </w:tcPr>
          <w:p>
            <w:r>
              <w:rPr>
                <w:b w:val="false"/>
                <w:bCs w:val="false"/>
                <w:color w:val="1A1A1A"/>
                <w:sz w:val="19"/>
                <w:szCs w:val="19"/>
              </w:rPr>
              <w:t xml:space="preserve">Automatic purge past the window, or user-initiated deletion</w:t>
            </w:r>
          </w:p>
        </w:tc>
      </w:tr>
      <w:tr>
        <w:tc>
          <w:tcPr>
            <w:tcW w:type="dxa" w:w="3050"/>
            <w:shd w:fill="EFF3EE" w:val="clear"/>
            <w:tcMar>
              <w:top w:type="dxa" w:w="90"/>
              <w:left w:type="dxa" w:w="110"/>
              <w:bottom w:type="dxa" w:w="90"/>
              <w:right w:type="dxa" w:w="110"/>
            </w:tcMar>
            <w:vAlign w:val="center"/>
          </w:tcPr>
          <w:p>
            <w:r>
              <w:rPr>
                <w:b w:val="false"/>
                <w:bCs w:val="false"/>
                <w:color w:val="1A1A1A"/>
                <w:sz w:val="19"/>
                <w:szCs w:val="19"/>
              </w:rPr>
              <w:t xml:space="preserve">Moderation reports and actions</w:t>
            </w:r>
          </w:p>
        </w:tc>
        <w:tc>
          <w:tcPr>
            <w:tcW w:type="dxa" w:w="3300"/>
            <w:shd w:fill="EFF3EE" w:val="clear"/>
            <w:tcMar>
              <w:top w:type="dxa" w:w="90"/>
              <w:left w:type="dxa" w:w="110"/>
              <w:bottom w:type="dxa" w:w="90"/>
              <w:right w:type="dxa" w:w="110"/>
            </w:tcMar>
            <w:vAlign w:val="center"/>
          </w:tcPr>
          <w:p>
            <w:r>
              <w:rPr>
                <w:b w:val="false"/>
                <w:bCs w:val="false"/>
                <w:color w:val="1A1A1A"/>
                <w:sz w:val="19"/>
                <w:szCs w:val="19"/>
              </w:rPr>
              <w:t xml:space="preserve">Retained longer than ordinary content for accountability and pattern detection</w:t>
            </w:r>
          </w:p>
        </w:tc>
        <w:tc>
          <w:tcPr>
            <w:tcW w:type="dxa" w:w="3000"/>
            <w:shd w:fill="EFF3EE" w:val="clear"/>
            <w:tcMar>
              <w:top w:type="dxa" w:w="90"/>
              <w:left w:type="dxa" w:w="110"/>
              <w:bottom w:type="dxa" w:w="90"/>
              <w:right w:type="dxa" w:w="110"/>
            </w:tcMar>
            <w:vAlign w:val="center"/>
          </w:tcPr>
          <w:p>
            <w:r>
              <w:rPr>
                <w:b w:val="false"/>
                <w:bCs w:val="false"/>
                <w:color w:val="1A1A1A"/>
                <w:sz w:val="19"/>
                <w:szCs w:val="19"/>
              </w:rPr>
              <w:t xml:space="preserve">Periodic review, not automatic deletion</w:t>
            </w:r>
          </w:p>
        </w:tc>
      </w:tr>
      <w:tr>
        <w:tc>
          <w:tcPr>
            <w:tcW w:type="dxa" w:w="3050"/>
            <w:shd w:fill="FFFFFF" w:val="clear"/>
            <w:tcMar>
              <w:top w:type="dxa" w:w="90"/>
              <w:left w:type="dxa" w:w="110"/>
              <w:bottom w:type="dxa" w:w="90"/>
              <w:right w:type="dxa" w:w="110"/>
            </w:tcMar>
            <w:vAlign w:val="center"/>
          </w:tcPr>
          <w:p>
            <w:r>
              <w:rPr>
                <w:b w:val="false"/>
                <w:bCs w:val="false"/>
                <w:color w:val="1A1A1A"/>
                <w:sz w:val="19"/>
                <w:szCs w:val="19"/>
              </w:rPr>
              <w:t xml:space="preserve">Media uploads (images/video)</w:t>
            </w:r>
          </w:p>
        </w:tc>
        <w:tc>
          <w:tcPr>
            <w:tcW w:type="dxa" w:w="3300"/>
            <w:shd w:fill="FFFFFF" w:val="clear"/>
            <w:tcMar>
              <w:top w:type="dxa" w:w="90"/>
              <w:left w:type="dxa" w:w="110"/>
              <w:bottom w:type="dxa" w:w="90"/>
              <w:right w:type="dxa" w:w="110"/>
            </w:tcMar>
            <w:vAlign w:val="center"/>
          </w:tcPr>
          <w:p>
            <w:r>
              <w:rPr>
                <w:b w:val="false"/>
                <w:bCs w:val="false"/>
                <w:color w:val="1A1A1A"/>
                <w:sz w:val="19"/>
                <w:szCs w:val="19"/>
              </w:rPr>
              <w:t xml:space="preserve">Tied to the parent Post/Article lifecycle</w:t>
            </w:r>
          </w:p>
        </w:tc>
        <w:tc>
          <w:tcPr>
            <w:tcW w:type="dxa" w:w="3000"/>
            <w:shd w:fill="FFFFFF" w:val="clear"/>
            <w:tcMar>
              <w:top w:type="dxa" w:w="90"/>
              <w:left w:type="dxa" w:w="110"/>
              <w:bottom w:type="dxa" w:w="90"/>
              <w:right w:type="dxa" w:w="110"/>
            </w:tcMar>
            <w:vAlign w:val="center"/>
          </w:tcPr>
          <w:p>
            <w:r>
              <w:rPr>
                <w:b w:val="false"/>
                <w:bCs w:val="false"/>
                <w:color w:val="1A1A1A"/>
                <w:sz w:val="19"/>
                <w:szCs w:val="19"/>
              </w:rPr>
              <w:t xml:space="preserve">Deleted when the parent content is deleted</w:t>
            </w:r>
          </w:p>
        </w:tc>
      </w:tr>
    </w:tbl>
    <w:p>
      <w:pPr>
        <w:spacing w:after="160" w:line="276"/>
      </w:pPr>
      <w:r>
        <w:t xml:space="preserve">These periods are starting proposals for legal counsel to confirm or revise, not final policy — do not publish a retention policy to users based on this table alone without that review.</w:t>
      </w:r>
    </w:p>
    <w:p>
      <w:pPr>
        <w:pStyle w:val="Heading2"/>
        <w:spacing w:after="160" w:before="320"/>
      </w:pPr>
      <w:r>
        <w:t xml:space="preserve">8.3 Age-verification / guardian-consent flow — the actual screens</w:t>
      </w:r>
    </w:p>
    <w:p>
      <w:pPr>
        <w:spacing w:after="160" w:line="276"/>
      </w:pPr>
      <w:r>
        <w:t xml:space="preserve">This is the concrete workflow neither the Log Book nor the Figma board currently specifies. Build these screens in Sprint 1 (Section 6).</w:t>
      </w:r>
    </w:p>
    <w:p>
      <w:pPr>
        <w:pStyle w:val="ListParagraph"/>
        <w:numPr>
          <w:ilvl w:val="0"/>
          <w:numId w:val="2"/>
        </w:numPr>
        <w:spacing w:after="90"/>
      </w:pPr>
      <w:r>
        <w:rPr>
          <w:b/>
          <w:bCs/>
        </w:rPr>
        <w:t xml:space="preserve">1. Age-gate screen. </w:t>
      </w:r>
      <w:r>
        <w:t xml:space="preserve">Date-of-birth entry at signup, before any account is created. Blocks signup outright below the applicable regional minimum age.</w:t>
      </w:r>
    </w:p>
    <w:p>
      <w:pPr>
        <w:pStyle w:val="ListParagraph"/>
        <w:numPr>
          <w:ilvl w:val="0"/>
          <w:numId w:val="2"/>
        </w:numPr>
        <w:spacing w:after="90"/>
      </w:pPr>
      <w:r>
        <w:rPr>
          <w:b/>
          <w:bCs/>
        </w:rPr>
        <w:t xml:space="preserve">2. Guardian-details capture. </w:t>
      </w:r>
      <w:r>
        <w:t xml:space="preserve">If the declared age is under 18, the signup flow branches here: capture guardian name, email and relationship to the minor before account creation completes.</w:t>
      </w:r>
    </w:p>
    <w:p>
      <w:pPr>
        <w:pStyle w:val="ListParagraph"/>
        <w:numPr>
          <w:ilvl w:val="0"/>
          <w:numId w:val="2"/>
        </w:numPr>
        <w:spacing w:after="90"/>
      </w:pPr>
      <w:r>
        <w:rPr>
          <w:b/>
          <w:bCs/>
        </w:rPr>
        <w:t xml:space="preserve">3. Guardian consent email. </w:t>
      </w:r>
      <w:r>
        <w:t xml:space="preserve">An email is sent to the guardian's address with a unique, single-use consent link — no app install required on the guardian's side.</w:t>
      </w:r>
    </w:p>
    <w:p>
      <w:pPr>
        <w:pStyle w:val="ListParagraph"/>
        <w:numPr>
          <w:ilvl w:val="0"/>
          <w:numId w:val="2"/>
        </w:numPr>
        <w:spacing w:after="90"/>
      </w:pPr>
      <w:r>
        <w:rPr>
          <w:b/>
          <w:bCs/>
        </w:rPr>
        <w:t xml:space="preserve">4. Guardian consent confirmation screen (web). </w:t>
      </w:r>
      <w:r>
        <w:t xml:space="preserve">A simple, plain-language web page explaining what the minor's account can do and what data is collected, with an explicit “I consent” action tied to the Guardian entity's consent_status and consent_timestamp fields (Section 3).</w:t>
      </w:r>
    </w:p>
    <w:p>
      <w:pPr>
        <w:pStyle w:val="ListParagraph"/>
        <w:numPr>
          <w:ilvl w:val="0"/>
          <w:numId w:val="2"/>
        </w:numPr>
        <w:spacing w:after="90"/>
      </w:pPr>
      <w:r>
        <w:rPr>
          <w:b/>
          <w:bCs/>
        </w:rPr>
        <w:t xml:space="preserve">5. Restricted-pending state. </w:t>
      </w:r>
      <w:r>
        <w:t xml:space="preserve">Until consent is recorded, the minor's account exists but is restricted: no public profile visibility, no DMs from unverified accounts, no participation in Banter Rooms beyond read-only.</w:t>
      </w:r>
    </w:p>
    <w:p>
      <w:pPr>
        <w:pStyle w:val="ListParagraph"/>
        <w:numPr>
          <w:ilvl w:val="0"/>
          <w:numId w:val="2"/>
        </w:numPr>
        <w:spacing w:after="90"/>
      </w:pPr>
      <w:r>
        <w:rPr>
          <w:b/>
          <w:bCs/>
        </w:rPr>
        <w:t xml:space="preserve">6. Activation. </w:t>
      </w:r>
      <w:r>
        <w:t xml:space="preserve">Once consent is recorded, the account unlocks to its normal minor-safe default permissions — still short of an adult account's permissions, per the trust &amp; safety layer in Log Book Section 6.1.</w:t>
      </w:r>
    </w:p>
    <w:p>
      <w:pPr>
        <w:pStyle w:val="Heading2"/>
        <w:spacing w:after="160" w:before="320"/>
      </w:pPr>
      <w:r>
        <w:t xml:space="preserve">8.4 Moderation &amp; appeals workflow</w:t>
      </w:r>
    </w:p>
    <w:p>
      <w:pPr>
        <w:pStyle w:val="ListParagraph"/>
        <w:numPr>
          <w:ilvl w:val="0"/>
          <w:numId w:val="2"/>
        </w:numPr>
        <w:spacing w:after="90"/>
      </w:pPr>
      <w:r>
        <w:t xml:space="preserve">A report is submitted against a post, comment or user, creating a Report record (Section 3).</w:t>
      </w:r>
    </w:p>
    <w:p>
      <w:pPr>
        <w:pStyle w:val="ListParagraph"/>
        <w:numPr>
          <w:ilvl w:val="0"/>
          <w:numId w:val="2"/>
        </w:numPr>
        <w:spacing w:after="90"/>
      </w:pPr>
      <w:r>
        <w:t xml:space="preserve">The report enters the Admin moderation queue (Section 4.8) for review by an AdminUser with the moderator role.</w:t>
      </w:r>
    </w:p>
    <w:p>
      <w:pPr>
        <w:pStyle w:val="ListParagraph"/>
        <w:numPr>
          <w:ilvl w:val="0"/>
          <w:numId w:val="2"/>
        </w:numPr>
        <w:spacing w:after="90"/>
      </w:pPr>
      <w:r>
        <w:t xml:space="preserve">The admin actions the report (e.g. content removal, warning, suspension) and the system notifies both the reporter and the reported user of the outcome.</w:t>
      </w:r>
    </w:p>
    <w:p>
      <w:pPr>
        <w:pStyle w:val="ListParagraph"/>
        <w:numPr>
          <w:ilvl w:val="0"/>
          <w:numId w:val="2"/>
        </w:numPr>
        <w:spacing w:after="90"/>
      </w:pPr>
      <w:r>
        <w:t xml:space="preserve">The reported user has a defined path to appeal the decision, routed to a second reviewer — not the same admin who made the original call.</w:t>
      </w:r>
    </w:p>
    <w:p>
      <w:r>
        <w:br w:type="page"/>
      </w:r>
    </w:p>
    <w:p>
      <w:pPr>
        <w:pStyle w:val="Heading1"/>
        <w:spacing w:after="240" w:before="480"/>
      </w:pPr>
      <w:r>
        <w:rPr>
          <w:color w:val="C99A2E"/>
        </w:rPr>
        <w:t xml:space="preserve">9  </w:t>
      </w:r>
      <w:r>
        <w:t xml:space="preserve">Consolidated Decision Log</w:t>
      </w:r>
    </w:p>
    <w:p>
      <w:pPr>
        <w:spacing w:after="160" w:line="276"/>
      </w:pPr>
      <w:r>
        <w:t xml:space="preserve">Every open founder decision previously scattered across Log Book Sections 20.5, 21 and 24.4, brought into one place. Update the status column as decisions close — do not let this list go stale.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4700"/>
        <w:gridCol w:w="1850"/>
        <w:gridCol w:w="2300"/>
      </w:tblGrid>
      <w:tr>
        <w:trPr>
          <w:tblHeader/>
        </w:trPr>
        <w:tc>
          <w:tcPr>
            <w:tcW w:type="dxa" w:w="500"/>
            <w:shd w:fill="12213A" w:val="clear"/>
            <w:tcMar>
              <w:top w:type="dxa" w:w="90"/>
              <w:left w:type="dxa" w:w="110"/>
              <w:bottom w:type="dxa" w:w="90"/>
              <w:right w:type="dxa" w:w="110"/>
            </w:tcMar>
            <w:vAlign w:val="center"/>
          </w:tcPr>
          <w:p>
            <w:r>
              <w:rPr>
                <w:b/>
                <w:bCs/>
                <w:color w:val="FFFFFF"/>
                <w:sz w:val="19"/>
                <w:szCs w:val="19"/>
              </w:rPr>
              <w:t xml:space="preserve">#</w:t>
            </w:r>
          </w:p>
        </w:tc>
        <w:tc>
          <w:tcPr>
            <w:tcW w:type="dxa" w:w="4700"/>
            <w:shd w:fill="12213A" w:val="clear"/>
            <w:tcMar>
              <w:top w:type="dxa" w:w="90"/>
              <w:left w:type="dxa" w:w="110"/>
              <w:bottom w:type="dxa" w:w="90"/>
              <w:right w:type="dxa" w:w="110"/>
            </w:tcMar>
            <w:vAlign w:val="center"/>
          </w:tcPr>
          <w:p>
            <w:r>
              <w:rPr>
                <w:b/>
                <w:bCs/>
                <w:color w:val="FFFFFF"/>
                <w:sz w:val="19"/>
                <w:szCs w:val="19"/>
              </w:rPr>
              <w:t xml:space="preserve">Decision needed</w:t>
            </w:r>
          </w:p>
        </w:tc>
        <w:tc>
          <w:tcPr>
            <w:tcW w:type="dxa" w:w="1850"/>
            <w:shd w:fill="12213A" w:val="clear"/>
            <w:tcMar>
              <w:top w:type="dxa" w:w="90"/>
              <w:left w:type="dxa" w:w="110"/>
              <w:bottom w:type="dxa" w:w="90"/>
              <w:right w:type="dxa" w:w="110"/>
            </w:tcMar>
            <w:vAlign w:val="center"/>
          </w:tcPr>
          <w:p>
            <w:r>
              <w:rPr>
                <w:b/>
                <w:bCs/>
                <w:color w:val="FFFFFF"/>
                <w:sz w:val="19"/>
                <w:szCs w:val="19"/>
              </w:rPr>
              <w:t xml:space="preserve">Raised in</w:t>
            </w:r>
          </w:p>
        </w:tc>
        <w:tc>
          <w:tcPr>
            <w:tcW w:type="dxa" w:w="2300"/>
            <w:shd w:fill="12213A" w:val="clear"/>
            <w:tcMar>
              <w:top w:type="dxa" w:w="90"/>
              <w:left w:type="dxa" w:w="110"/>
              <w:bottom w:type="dxa" w:w="90"/>
              <w:right w:type="dxa" w:w="110"/>
            </w:tcMar>
            <w:vAlign w:val="center"/>
          </w:tcPr>
          <w:p>
            <w:r>
              <w:rPr>
                <w:b/>
                <w:bCs/>
                <w:color w:val="FFFFFF"/>
                <w:sz w:val="19"/>
                <w:szCs w:val="19"/>
              </w:rPr>
              <w:t xml:space="preserve">Status</w:t>
            </w:r>
          </w:p>
        </w:tc>
      </w:tr>
      <w:tr>
        <w:tc>
          <w:tcPr>
            <w:tcW w:type="dxa" w:w="500"/>
            <w:shd w:fill="FFFFFF" w:val="clear"/>
            <w:tcMar>
              <w:top w:type="dxa" w:w="90"/>
              <w:left w:type="dxa" w:w="110"/>
              <w:bottom w:type="dxa" w:w="90"/>
              <w:right w:type="dxa" w:w="110"/>
            </w:tcMar>
            <w:vAlign w:val="center"/>
          </w:tcPr>
          <w:p>
            <w:r>
              <w:rPr>
                <w:b w:val="false"/>
                <w:bCs w:val="false"/>
                <w:color w:val="1A1A1A"/>
                <w:sz w:val="19"/>
                <w:szCs w:val="19"/>
              </w:rPr>
              <w:t xml:space="preserve">1</w:t>
            </w:r>
          </w:p>
        </w:tc>
        <w:tc>
          <w:tcPr>
            <w:tcW w:type="dxa" w:w="4700"/>
            <w:shd w:fill="FFFFFF" w:val="clear"/>
            <w:tcMar>
              <w:top w:type="dxa" w:w="90"/>
              <w:left w:type="dxa" w:w="110"/>
              <w:bottom w:type="dxa" w:w="90"/>
              <w:right w:type="dxa" w:w="110"/>
            </w:tcMar>
            <w:vAlign w:val="center"/>
          </w:tcPr>
          <w:p>
            <w:r>
              <w:rPr>
                <w:b w:val="false"/>
                <w:bCs w:val="false"/>
                <w:color w:val="1A1A1A"/>
                <w:sz w:val="19"/>
                <w:szCs w:val="19"/>
              </w:rPr>
              <w:t xml:space="preserve">Resolved by the founder: “Community groups” and “Banter Rooms” are two distinct features, and Soccernity needs both (Log Book Section 24.4). Community Groups has no Figma screen yet and must be designed by figma-screen-builder in Sprint 3 before it can be converted to code.</w:t>
            </w:r>
          </w:p>
        </w:tc>
        <w:tc>
          <w:tcPr>
            <w:tcW w:type="dxa" w:w="1850"/>
            <w:shd w:fill="FFFFFF" w:val="clear"/>
            <w:tcMar>
              <w:top w:type="dxa" w:w="90"/>
              <w:left w:type="dxa" w:w="110"/>
              <w:bottom w:type="dxa" w:w="90"/>
              <w:right w:type="dxa" w:w="110"/>
            </w:tcMar>
            <w:vAlign w:val="center"/>
          </w:tcPr>
          <w:p>
            <w:r>
              <w:rPr>
                <w:b w:val="false"/>
                <w:bCs w:val="false"/>
                <w:color w:val="1A1A1A"/>
                <w:sz w:val="19"/>
                <w:szCs w:val="19"/>
              </w:rPr>
              <w:t xml:space="preserve">Log Book 24.4</w:t>
            </w:r>
          </w:p>
        </w:tc>
        <w:tc>
          <w:tcPr>
            <w:tcW w:type="dxa" w:w="2300"/>
            <w:shd w:fill="FFFFFF" w:val="clear"/>
            <w:tcMar>
              <w:top w:type="dxa" w:w="90"/>
              <w:left w:type="dxa" w:w="110"/>
              <w:bottom w:type="dxa" w:w="90"/>
              <w:right w:type="dxa" w:w="110"/>
            </w:tcMar>
            <w:vAlign w:val="center"/>
          </w:tcPr>
          <w:p>
            <w:r>
              <w:rPr>
                <w:b w:val="false"/>
                <w:bCs w:val="false"/>
                <w:color w:val="1A1A1A"/>
                <w:sz w:val="19"/>
                <w:szCs w:val="19"/>
              </w:rPr>
              <w:t xml:space="preserve">Resolved — see Sprint 3, Section 11</w:t>
            </w:r>
          </w:p>
        </w:tc>
      </w:tr>
      <w:tr>
        <w:tc>
          <w:tcPr>
            <w:tcW w:type="dxa" w:w="500"/>
            <w:shd w:fill="EFF3EE" w:val="clear"/>
            <w:tcMar>
              <w:top w:type="dxa" w:w="90"/>
              <w:left w:type="dxa" w:w="110"/>
              <w:bottom w:type="dxa" w:w="90"/>
              <w:right w:type="dxa" w:w="110"/>
            </w:tcMar>
            <w:vAlign w:val="center"/>
          </w:tcPr>
          <w:p>
            <w:r>
              <w:rPr>
                <w:b w:val="false"/>
                <w:bCs w:val="false"/>
                <w:color w:val="1A1A1A"/>
                <w:sz w:val="19"/>
                <w:szCs w:val="19"/>
              </w:rPr>
              <w:t xml:space="preserve">2</w:t>
            </w:r>
          </w:p>
        </w:tc>
        <w:tc>
          <w:tcPr>
            <w:tcW w:type="dxa" w:w="4700"/>
            <w:shd w:fill="EFF3EE" w:val="clear"/>
            <w:tcMar>
              <w:top w:type="dxa" w:w="90"/>
              <w:left w:type="dxa" w:w="110"/>
              <w:bottom w:type="dxa" w:w="90"/>
              <w:right w:type="dxa" w:w="110"/>
            </w:tcMar>
            <w:vAlign w:val="center"/>
          </w:tcPr>
          <w:p>
            <w:r>
              <w:rPr>
                <w:b w:val="false"/>
                <w:bCs w:val="false"/>
                <w:color w:val="1A1A1A"/>
                <w:sz w:val="19"/>
                <w:szCs w:val="19"/>
              </w:rPr>
              <w:t xml:space="preserve">Exact premium pricing (£2/£5/£10 in original notes) — validate against MVP engagement data once live, not before.</w:t>
            </w:r>
          </w:p>
        </w:tc>
        <w:tc>
          <w:tcPr>
            <w:tcW w:type="dxa" w:w="1850"/>
            <w:shd w:fill="EFF3EE" w:val="clear"/>
            <w:tcMar>
              <w:top w:type="dxa" w:w="90"/>
              <w:left w:type="dxa" w:w="110"/>
              <w:bottom w:type="dxa" w:w="90"/>
              <w:right w:type="dxa" w:w="110"/>
            </w:tcMar>
            <w:vAlign w:val="center"/>
          </w:tcPr>
          <w:p>
            <w:r>
              <w:rPr>
                <w:b w:val="false"/>
                <w:bCs w:val="false"/>
                <w:color w:val="1A1A1A"/>
                <w:sz w:val="19"/>
                <w:szCs w:val="19"/>
              </w:rPr>
              <w:t xml:space="preserve">Log Book 21</w:t>
            </w:r>
          </w:p>
        </w:tc>
        <w:tc>
          <w:tcPr>
            <w:tcW w:type="dxa" w:w="2300"/>
            <w:shd w:fill="EFF3EE" w:val="clear"/>
            <w:tcMar>
              <w:top w:type="dxa" w:w="90"/>
              <w:left w:type="dxa" w:w="110"/>
              <w:bottom w:type="dxa" w:w="90"/>
              <w:right w:type="dxa" w:w="110"/>
            </w:tcMar>
            <w:vAlign w:val="center"/>
          </w:tcPr>
          <w:p>
            <w:r>
              <w:rPr>
                <w:b w:val="false"/>
                <w:bCs w:val="false"/>
                <w:color w:val="1A1A1A"/>
                <w:sz w:val="19"/>
                <w:szCs w:val="19"/>
              </w:rPr>
              <w:t xml:space="preserve">Open (deferred to post-MVP)</w:t>
            </w:r>
          </w:p>
        </w:tc>
      </w:tr>
      <w:tr>
        <w:tc>
          <w:tcPr>
            <w:tcW w:type="dxa" w:w="500"/>
            <w:shd w:fill="FFFFFF" w:val="clear"/>
            <w:tcMar>
              <w:top w:type="dxa" w:w="90"/>
              <w:left w:type="dxa" w:w="110"/>
              <w:bottom w:type="dxa" w:w="90"/>
              <w:right w:type="dxa" w:w="110"/>
            </w:tcMar>
            <w:vAlign w:val="center"/>
          </w:tcPr>
          <w:p>
            <w:r>
              <w:rPr>
                <w:b w:val="false"/>
                <w:bCs w:val="false"/>
                <w:color w:val="1A1A1A"/>
                <w:sz w:val="19"/>
                <w:szCs w:val="19"/>
              </w:rPr>
              <w:t xml:space="preserve">3</w:t>
            </w:r>
          </w:p>
        </w:tc>
        <w:tc>
          <w:tcPr>
            <w:tcW w:type="dxa" w:w="4700"/>
            <w:shd w:fill="FFFFFF" w:val="clear"/>
            <w:tcMar>
              <w:top w:type="dxa" w:w="90"/>
              <w:left w:type="dxa" w:w="110"/>
              <w:bottom w:type="dxa" w:w="90"/>
              <w:right w:type="dxa" w:w="110"/>
            </w:tcMar>
            <w:vAlign w:val="center"/>
          </w:tcPr>
          <w:p>
            <w:r>
              <w:rPr>
                <w:b w:val="false"/>
                <w:bCs w:val="false"/>
                <w:color w:val="1A1A1A"/>
                <w:sz w:val="19"/>
                <w:szCs w:val="19"/>
              </w:rPr>
              <w:t xml:space="preserve">Whether the Academy Marketplace launches alongside or after the Scout CRM, given both compete for the same engineering capacity.</w:t>
            </w:r>
          </w:p>
        </w:tc>
        <w:tc>
          <w:tcPr>
            <w:tcW w:type="dxa" w:w="1850"/>
            <w:shd w:fill="FFFFFF" w:val="clear"/>
            <w:tcMar>
              <w:top w:type="dxa" w:w="90"/>
              <w:left w:type="dxa" w:w="110"/>
              <w:bottom w:type="dxa" w:w="90"/>
              <w:right w:type="dxa" w:w="110"/>
            </w:tcMar>
            <w:vAlign w:val="center"/>
          </w:tcPr>
          <w:p>
            <w:r>
              <w:rPr>
                <w:b w:val="false"/>
                <w:bCs w:val="false"/>
                <w:color w:val="1A1A1A"/>
                <w:sz w:val="19"/>
                <w:szCs w:val="19"/>
              </w:rPr>
              <w:t xml:space="preserve">Log Book 21</w:t>
            </w:r>
          </w:p>
        </w:tc>
        <w:tc>
          <w:tcPr>
            <w:tcW w:type="dxa" w:w="2300"/>
            <w:shd w:fill="FFFFFF" w:val="clear"/>
            <w:tcMar>
              <w:top w:type="dxa" w:w="90"/>
              <w:left w:type="dxa" w:w="110"/>
              <w:bottom w:type="dxa" w:w="90"/>
              <w:right w:type="dxa" w:w="110"/>
            </w:tcMar>
            <w:vAlign w:val="center"/>
          </w:tcPr>
          <w:p>
            <w:r>
              <w:rPr>
                <w:b w:val="false"/>
                <w:bCs w:val="false"/>
                <w:color w:val="1A1A1A"/>
                <w:sz w:val="19"/>
                <w:szCs w:val="19"/>
              </w:rPr>
              <w:t xml:space="preserve">Open (Phase 2 decision, not MVP-blocking)</w:t>
            </w:r>
          </w:p>
        </w:tc>
      </w:tr>
      <w:tr>
        <w:tc>
          <w:tcPr>
            <w:tcW w:type="dxa" w:w="500"/>
            <w:shd w:fill="EFF3EE" w:val="clear"/>
            <w:tcMar>
              <w:top w:type="dxa" w:w="90"/>
              <w:left w:type="dxa" w:w="110"/>
              <w:bottom w:type="dxa" w:w="90"/>
              <w:right w:type="dxa" w:w="110"/>
            </w:tcMar>
            <w:vAlign w:val="center"/>
          </w:tcPr>
          <w:p>
            <w:r>
              <w:rPr>
                <w:b w:val="false"/>
                <w:bCs w:val="false"/>
                <w:color w:val="1A1A1A"/>
                <w:sz w:val="19"/>
                <w:szCs w:val="19"/>
              </w:rPr>
              <w:t xml:space="preserve">4</w:t>
            </w:r>
          </w:p>
        </w:tc>
        <w:tc>
          <w:tcPr>
            <w:tcW w:type="dxa" w:w="4700"/>
            <w:shd w:fill="EFF3EE" w:val="clear"/>
            <w:tcMar>
              <w:top w:type="dxa" w:w="90"/>
              <w:left w:type="dxa" w:w="110"/>
              <w:bottom w:type="dxa" w:w="90"/>
              <w:right w:type="dxa" w:w="110"/>
            </w:tcMar>
            <w:vAlign w:val="center"/>
          </w:tcPr>
          <w:p>
            <w:r>
              <w:rPr>
                <w:b w:val="false"/>
                <w:bCs w:val="false"/>
                <w:color w:val="1A1A1A"/>
                <w:sz w:val="19"/>
                <w:szCs w:val="19"/>
              </w:rPr>
              <w:t xml:space="preserve">Jurisdictional scope of the safeguarding framework beyond UK GDPR as the floor — needs review by counsel familiar with child-protection law in each launch market.</w:t>
            </w:r>
          </w:p>
        </w:tc>
        <w:tc>
          <w:tcPr>
            <w:tcW w:type="dxa" w:w="1850"/>
            <w:shd w:fill="EFF3EE" w:val="clear"/>
            <w:tcMar>
              <w:top w:type="dxa" w:w="90"/>
              <w:left w:type="dxa" w:w="110"/>
              <w:bottom w:type="dxa" w:w="90"/>
              <w:right w:type="dxa" w:w="110"/>
            </w:tcMar>
            <w:vAlign w:val="center"/>
          </w:tcPr>
          <w:p>
            <w:r>
              <w:rPr>
                <w:b w:val="false"/>
                <w:bCs w:val="false"/>
                <w:color w:val="1A1A1A"/>
                <w:sz w:val="19"/>
                <w:szCs w:val="19"/>
              </w:rPr>
              <w:t xml:space="preserve">Log Book 21</w:t>
            </w:r>
          </w:p>
        </w:tc>
        <w:tc>
          <w:tcPr>
            <w:tcW w:type="dxa" w:w="2300"/>
            <w:shd w:fill="EFF3EE" w:val="clear"/>
            <w:tcMar>
              <w:top w:type="dxa" w:w="90"/>
              <w:left w:type="dxa" w:w="110"/>
              <w:bottom w:type="dxa" w:w="90"/>
              <w:right w:type="dxa" w:w="110"/>
            </w:tcMar>
            <w:vAlign w:val="center"/>
          </w:tcPr>
          <w:p>
            <w:r>
              <w:rPr>
                <w:b w:val="false"/>
                <w:bCs w:val="false"/>
                <w:color w:val="1A1A1A"/>
                <w:sz w:val="19"/>
                <w:szCs w:val="19"/>
              </w:rPr>
              <w:t xml:space="preserve">Open — blocks Section 8.1 DPIA sign-off</w:t>
            </w:r>
          </w:p>
        </w:tc>
      </w:tr>
      <w:tr>
        <w:tc>
          <w:tcPr>
            <w:tcW w:type="dxa" w:w="500"/>
            <w:shd w:fill="FFFFFF" w:val="clear"/>
            <w:tcMar>
              <w:top w:type="dxa" w:w="90"/>
              <w:left w:type="dxa" w:w="110"/>
              <w:bottom w:type="dxa" w:w="90"/>
              <w:right w:type="dxa" w:w="110"/>
            </w:tcMar>
            <w:vAlign w:val="center"/>
          </w:tcPr>
          <w:p>
            <w:r>
              <w:rPr>
                <w:b w:val="false"/>
                <w:bCs w:val="false"/>
                <w:color w:val="1A1A1A"/>
                <w:sz w:val="19"/>
                <w:szCs w:val="19"/>
              </w:rPr>
              <w:t xml:space="preserve">5</w:t>
            </w:r>
          </w:p>
        </w:tc>
        <w:tc>
          <w:tcPr>
            <w:tcW w:type="dxa" w:w="4700"/>
            <w:shd w:fill="FFFFFF" w:val="clear"/>
            <w:tcMar>
              <w:top w:type="dxa" w:w="90"/>
              <w:left w:type="dxa" w:w="110"/>
              <w:bottom w:type="dxa" w:w="90"/>
              <w:right w:type="dxa" w:w="110"/>
            </w:tcMar>
            <w:vAlign w:val="center"/>
          </w:tcPr>
          <w:p>
            <w:r>
              <w:rPr>
                <w:b w:val="false"/>
                <w:bCs w:val="false"/>
                <w:color w:val="1A1A1A"/>
                <w:sz w:val="19"/>
                <w:szCs w:val="19"/>
              </w:rPr>
              <w:t xml:space="preserve">Whether to pursue direct partnership conversations with Mchezaji, Afriskaut or GRASOF rather than treating them purely as competitors.</w:t>
            </w:r>
          </w:p>
        </w:tc>
        <w:tc>
          <w:tcPr>
            <w:tcW w:type="dxa" w:w="1850"/>
            <w:shd w:fill="FFFFFF" w:val="clear"/>
            <w:tcMar>
              <w:top w:type="dxa" w:w="90"/>
              <w:left w:type="dxa" w:w="110"/>
              <w:bottom w:type="dxa" w:w="90"/>
              <w:right w:type="dxa" w:w="110"/>
            </w:tcMar>
            <w:vAlign w:val="center"/>
          </w:tcPr>
          <w:p>
            <w:r>
              <w:rPr>
                <w:b w:val="false"/>
                <w:bCs w:val="false"/>
                <w:color w:val="1A1A1A"/>
                <w:sz w:val="19"/>
                <w:szCs w:val="19"/>
              </w:rPr>
              <w:t xml:space="preserve">Log Book 19, 21</w:t>
            </w:r>
          </w:p>
        </w:tc>
        <w:tc>
          <w:tcPr>
            <w:tcW w:type="dxa" w:w="2300"/>
            <w:shd w:fill="FFFFFF" w:val="clear"/>
            <w:tcMar>
              <w:top w:type="dxa" w:w="90"/>
              <w:left w:type="dxa" w:w="110"/>
              <w:bottom w:type="dxa" w:w="90"/>
              <w:right w:type="dxa" w:w="110"/>
            </w:tcMar>
            <w:vAlign w:val="center"/>
          </w:tcPr>
          <w:p>
            <w:r>
              <w:rPr>
                <w:b w:val="false"/>
                <w:bCs w:val="false"/>
                <w:color w:val="1A1A1A"/>
                <w:sz w:val="19"/>
                <w:szCs w:val="19"/>
              </w:rPr>
              <w:t xml:space="preserve">Open (not MVP-blocking)</w:t>
            </w:r>
          </w:p>
        </w:tc>
      </w:tr>
      <w:tr>
        <w:tc>
          <w:tcPr>
            <w:tcW w:type="dxa" w:w="500"/>
            <w:shd w:fill="EFF3EE" w:val="clear"/>
            <w:tcMar>
              <w:top w:type="dxa" w:w="90"/>
              <w:left w:type="dxa" w:w="110"/>
              <w:bottom w:type="dxa" w:w="90"/>
              <w:right w:type="dxa" w:w="110"/>
            </w:tcMar>
            <w:vAlign w:val="center"/>
          </w:tcPr>
          <w:p>
            <w:r>
              <w:rPr>
                <w:b w:val="false"/>
                <w:bCs w:val="false"/>
                <w:color w:val="1A1A1A"/>
                <w:sz w:val="19"/>
                <w:szCs w:val="19"/>
              </w:rPr>
              <w:t xml:space="preserve">6</w:t>
            </w:r>
          </w:p>
        </w:tc>
        <w:tc>
          <w:tcPr>
            <w:tcW w:type="dxa" w:w="4700"/>
            <w:shd w:fill="EFF3EE" w:val="clear"/>
            <w:tcMar>
              <w:top w:type="dxa" w:w="90"/>
              <w:left w:type="dxa" w:w="110"/>
              <w:bottom w:type="dxa" w:w="90"/>
              <w:right w:type="dxa" w:w="110"/>
            </w:tcMar>
            <w:vAlign w:val="center"/>
          </w:tcPr>
          <w:p>
            <w:r>
              <w:rPr>
                <w:b w:val="false"/>
                <w:bCs w:val="false"/>
                <w:color w:val="1A1A1A"/>
                <w:sz w:val="19"/>
                <w:szCs w:val="19"/>
              </w:rPr>
              <w:t xml:space="preserve">Sports-data API vendor selection — evaluate 2–3 providers on coverage, latency and cost.</w:t>
            </w:r>
          </w:p>
        </w:tc>
        <w:tc>
          <w:tcPr>
            <w:tcW w:type="dxa" w:w="1850"/>
            <w:shd w:fill="EFF3EE" w:val="clear"/>
            <w:tcMar>
              <w:top w:type="dxa" w:w="90"/>
              <w:left w:type="dxa" w:w="110"/>
              <w:bottom w:type="dxa" w:w="90"/>
              <w:right w:type="dxa" w:w="110"/>
            </w:tcMar>
            <w:vAlign w:val="center"/>
          </w:tcPr>
          <w:p>
            <w:r>
              <w:rPr>
                <w:b w:val="false"/>
                <w:bCs w:val="false"/>
                <w:color w:val="1A1A1A"/>
                <w:sz w:val="19"/>
                <w:szCs w:val="19"/>
              </w:rPr>
              <w:t xml:space="preserve">This document, Section 5</w:t>
            </w:r>
          </w:p>
        </w:tc>
        <w:tc>
          <w:tcPr>
            <w:tcW w:type="dxa" w:w="2300"/>
            <w:shd w:fill="EFF3EE" w:val="clear"/>
            <w:tcMar>
              <w:top w:type="dxa" w:w="90"/>
              <w:left w:type="dxa" w:w="110"/>
              <w:bottom w:type="dxa" w:w="90"/>
              <w:right w:type="dxa" w:w="110"/>
            </w:tcMar>
            <w:vAlign w:val="center"/>
          </w:tcPr>
          <w:p>
            <w:r>
              <w:rPr>
                <w:b w:val="false"/>
                <w:bCs w:val="false"/>
                <w:color w:val="1A1A1A"/>
                <w:sz w:val="19"/>
                <w:szCs w:val="19"/>
              </w:rPr>
              <w:t xml:space="preserve">Open — blocks Sprint 4</w:t>
            </w:r>
          </w:p>
        </w:tc>
      </w:tr>
      <w:tr>
        <w:tc>
          <w:tcPr>
            <w:tcW w:type="dxa" w:w="500"/>
            <w:shd w:fill="FFFFFF" w:val="clear"/>
            <w:tcMar>
              <w:top w:type="dxa" w:w="90"/>
              <w:left w:type="dxa" w:w="110"/>
              <w:bottom w:type="dxa" w:w="90"/>
              <w:right w:type="dxa" w:w="110"/>
            </w:tcMar>
            <w:vAlign w:val="center"/>
          </w:tcPr>
          <w:p>
            <w:r>
              <w:rPr>
                <w:b w:val="false"/>
                <w:bCs w:val="false"/>
                <w:color w:val="1A1A1A"/>
                <w:sz w:val="19"/>
                <w:szCs w:val="19"/>
              </w:rPr>
              <w:t xml:space="preserve">7</w:t>
            </w:r>
          </w:p>
        </w:tc>
        <w:tc>
          <w:tcPr>
            <w:tcW w:type="dxa" w:w="4700"/>
            <w:shd w:fill="FFFFFF" w:val="clear"/>
            <w:tcMar>
              <w:top w:type="dxa" w:w="90"/>
              <w:left w:type="dxa" w:w="110"/>
              <w:bottom w:type="dxa" w:w="90"/>
              <w:right w:type="dxa" w:w="110"/>
            </w:tcMar>
            <w:vAlign w:val="center"/>
          </w:tcPr>
          <w:p>
            <w:r>
              <w:rPr>
                <w:b w:val="false"/>
                <w:bCs w:val="false"/>
                <w:color w:val="1A1A1A"/>
                <w:sz w:val="19"/>
                <w:szCs w:val="19"/>
              </w:rPr>
              <w:t xml:space="preserve">Managed auth provider vs. custom JWT implementation.</w:t>
            </w:r>
          </w:p>
        </w:tc>
        <w:tc>
          <w:tcPr>
            <w:tcW w:type="dxa" w:w="1850"/>
            <w:shd w:fill="FFFFFF" w:val="clear"/>
            <w:tcMar>
              <w:top w:type="dxa" w:w="90"/>
              <w:left w:type="dxa" w:w="110"/>
              <w:bottom w:type="dxa" w:w="90"/>
              <w:right w:type="dxa" w:w="110"/>
            </w:tcMar>
            <w:vAlign w:val="center"/>
          </w:tcPr>
          <w:p>
            <w:r>
              <w:rPr>
                <w:b w:val="false"/>
                <w:bCs w:val="false"/>
                <w:color w:val="1A1A1A"/>
                <w:sz w:val="19"/>
                <w:szCs w:val="19"/>
              </w:rPr>
              <w:t xml:space="preserve">This document, Section 5</w:t>
            </w:r>
          </w:p>
        </w:tc>
        <w:tc>
          <w:tcPr>
            <w:tcW w:type="dxa" w:w="2300"/>
            <w:shd w:fill="FFFFFF" w:val="clear"/>
            <w:tcMar>
              <w:top w:type="dxa" w:w="90"/>
              <w:left w:type="dxa" w:w="110"/>
              <w:bottom w:type="dxa" w:w="90"/>
              <w:right w:type="dxa" w:w="110"/>
            </w:tcMar>
            <w:vAlign w:val="center"/>
          </w:tcPr>
          <w:p>
            <w:r>
              <w:rPr>
                <w:b w:val="false"/>
                <w:bCs w:val="false"/>
                <w:color w:val="1A1A1A"/>
                <w:sz w:val="19"/>
                <w:szCs w:val="19"/>
              </w:rPr>
              <w:t xml:space="preserve">Open — blocks Sprint 1</w:t>
            </w:r>
          </w:p>
        </w:tc>
      </w:tr>
      <w:tr>
        <w:tc>
          <w:tcPr>
            <w:tcW w:type="dxa" w:w="500"/>
            <w:shd w:fill="EFF3EE" w:val="clear"/>
            <w:tcMar>
              <w:top w:type="dxa" w:w="90"/>
              <w:left w:type="dxa" w:w="110"/>
              <w:bottom w:type="dxa" w:w="90"/>
              <w:right w:type="dxa" w:w="110"/>
            </w:tcMar>
            <w:vAlign w:val="center"/>
          </w:tcPr>
          <w:p>
            <w:r>
              <w:rPr>
                <w:b w:val="false"/>
                <w:bCs w:val="false"/>
                <w:color w:val="1A1A1A"/>
                <w:sz w:val="19"/>
                <w:szCs w:val="19"/>
              </w:rPr>
              <w:t xml:space="preserve">8</w:t>
            </w:r>
          </w:p>
        </w:tc>
        <w:tc>
          <w:tcPr>
            <w:tcW w:type="dxa" w:w="4700"/>
            <w:shd w:fill="EFF3EE" w:val="clear"/>
            <w:tcMar>
              <w:top w:type="dxa" w:w="90"/>
              <w:left w:type="dxa" w:w="110"/>
              <w:bottom w:type="dxa" w:w="90"/>
              <w:right w:type="dxa" w:w="110"/>
            </w:tcMar>
            <w:vAlign w:val="center"/>
          </w:tcPr>
          <w:p>
            <w:r>
              <w:rPr>
                <w:b w:val="false"/>
                <w:bCs w:val="false"/>
                <w:color w:val="1A1A1A"/>
                <w:sz w:val="19"/>
                <w:szCs w:val="19"/>
              </w:rPr>
              <w:t xml:space="preserve">Regional minimum age for the age-gate in Section 8.3, if it differs from 18 in the launch jurisdiction.</w:t>
            </w:r>
          </w:p>
        </w:tc>
        <w:tc>
          <w:tcPr>
            <w:tcW w:type="dxa" w:w="1850"/>
            <w:shd w:fill="EFF3EE" w:val="clear"/>
            <w:tcMar>
              <w:top w:type="dxa" w:w="90"/>
              <w:left w:type="dxa" w:w="110"/>
              <w:bottom w:type="dxa" w:w="90"/>
              <w:right w:type="dxa" w:w="110"/>
            </w:tcMar>
            <w:vAlign w:val="center"/>
          </w:tcPr>
          <w:p>
            <w:r>
              <w:rPr>
                <w:b w:val="false"/>
                <w:bCs w:val="false"/>
                <w:color w:val="1A1A1A"/>
                <w:sz w:val="19"/>
                <w:szCs w:val="19"/>
              </w:rPr>
              <w:t xml:space="preserve">This document, Section 8</w:t>
            </w:r>
          </w:p>
        </w:tc>
        <w:tc>
          <w:tcPr>
            <w:tcW w:type="dxa" w:w="2300"/>
            <w:shd w:fill="EFF3EE" w:val="clear"/>
            <w:tcMar>
              <w:top w:type="dxa" w:w="90"/>
              <w:left w:type="dxa" w:w="110"/>
              <w:bottom w:type="dxa" w:w="90"/>
              <w:right w:type="dxa" w:w="110"/>
            </w:tcMar>
            <w:vAlign w:val="center"/>
          </w:tcPr>
          <w:p>
            <w:r>
              <w:rPr>
                <w:b w:val="false"/>
                <w:bCs w:val="false"/>
                <w:color w:val="1A1A1A"/>
                <w:sz w:val="19"/>
                <w:szCs w:val="19"/>
              </w:rPr>
              <w:t xml:space="preserve">Open — blocks Sprint 1</w:t>
            </w:r>
          </w:p>
        </w:tc>
      </w:tr>
      <w:tr>
        <w:tc>
          <w:tcPr>
            <w:tcW w:type="dxa" w:w="500"/>
            <w:shd w:fill="FFFFFF" w:val="clear"/>
            <w:tcMar>
              <w:top w:type="dxa" w:w="90"/>
              <w:left w:type="dxa" w:w="110"/>
              <w:bottom w:type="dxa" w:w="90"/>
              <w:right w:type="dxa" w:w="110"/>
            </w:tcMar>
            <w:vAlign w:val="center"/>
          </w:tcPr>
          <w:p>
            <w:r>
              <w:rPr>
                <w:b w:val="false"/>
                <w:bCs w:val="false"/>
                <w:color w:val="1A1A1A"/>
                <w:sz w:val="19"/>
                <w:szCs w:val="19"/>
              </w:rPr>
              <w:t xml:space="preserve">9</w:t>
            </w:r>
          </w:p>
        </w:tc>
        <w:tc>
          <w:tcPr>
            <w:tcW w:type="dxa" w:w="4700"/>
            <w:shd w:fill="FFFFFF" w:val="clear"/>
            <w:tcMar>
              <w:top w:type="dxa" w:w="90"/>
              <w:left w:type="dxa" w:w="110"/>
              <w:bottom w:type="dxa" w:w="90"/>
              <w:right w:type="dxa" w:w="110"/>
            </w:tcMar>
            <w:vAlign w:val="center"/>
          </w:tcPr>
          <w:p>
            <w:r>
              <w:rPr>
                <w:b w:val="false"/>
                <w:bCs w:val="false"/>
                <w:color w:val="1A1A1A"/>
                <w:sz w:val="19"/>
                <w:szCs w:val="19"/>
              </w:rPr>
              <w:t xml:space="preserve">Hosting platform selection — Section 5 recommends a managed container platform (AWS ECS/Fargate, or a PaaS such as Render/Railway) over self-managed servers, but the specific provider is not chosen.</w:t>
            </w:r>
          </w:p>
        </w:tc>
        <w:tc>
          <w:tcPr>
            <w:tcW w:type="dxa" w:w="1850"/>
            <w:shd w:fill="FFFFFF" w:val="clear"/>
            <w:tcMar>
              <w:top w:type="dxa" w:w="90"/>
              <w:left w:type="dxa" w:w="110"/>
              <w:bottom w:type="dxa" w:w="90"/>
              <w:right w:type="dxa" w:w="110"/>
            </w:tcMar>
            <w:vAlign w:val="center"/>
          </w:tcPr>
          <w:p>
            <w:r>
              <w:rPr>
                <w:b w:val="false"/>
                <w:bCs w:val="false"/>
                <w:color w:val="1A1A1A"/>
                <w:sz w:val="19"/>
                <w:szCs w:val="19"/>
              </w:rPr>
              <w:t xml:space="preserve">This document, Section 5.6</w:t>
            </w:r>
          </w:p>
        </w:tc>
        <w:tc>
          <w:tcPr>
            <w:tcW w:type="dxa" w:w="2300"/>
            <w:shd w:fill="FFFFFF" w:val="clear"/>
            <w:tcMar>
              <w:top w:type="dxa" w:w="90"/>
              <w:left w:type="dxa" w:w="110"/>
              <w:bottom w:type="dxa" w:w="90"/>
              <w:right w:type="dxa" w:w="110"/>
            </w:tcMar>
            <w:vAlign w:val="center"/>
          </w:tcPr>
          <w:p>
            <w:r>
              <w:rPr>
                <w:b w:val="false"/>
                <w:bCs w:val="false"/>
                <w:color w:val="1A1A1A"/>
                <w:sz w:val="19"/>
                <w:szCs w:val="19"/>
              </w:rPr>
              <w:t xml:space="preserve">Open — blocks deploy.yml; the workflow fails on purpose until this is resolved</w:t>
            </w:r>
          </w:p>
        </w:tc>
      </w:tr>
    </w:tbl>
    <w:p>
      <w:r>
        <w:br w:type="page"/>
      </w:r>
    </w:p>
    <w:p>
      <w:pPr>
        <w:pStyle w:val="Heading1"/>
        <w:spacing w:after="240" w:before="480"/>
      </w:pPr>
      <w:r>
        <w:rPr>
          <w:color w:val="C99A2E"/>
        </w:rPr>
        <w:t xml:space="preserve">10  </w:t>
      </w:r>
      <w:r>
        <w:t xml:space="preserve">Design System Cleanup Tickets</w:t>
      </w:r>
    </w:p>
    <w:p>
      <w:pPr>
        <w:spacing w:after="160" w:line="276"/>
      </w:pPr>
      <w:r>
        <w:t xml:space="preserve">Turned from Log Book Section 23.5's housekeeping notes into actionable tickets. Assign to the product designer or the figma-to-code agent (Section 11) ahead of the sprint that depends on each item.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650"/>
        <w:gridCol w:w="2700"/>
      </w:tblGrid>
      <w:tr>
        <w:trPr>
          <w:tblHeader/>
        </w:trPr>
        <w:tc>
          <w:tcPr>
            <w:tcW w:type="dxa" w:w="6650"/>
            <w:shd w:fill="12213A" w:val="clear"/>
            <w:tcMar>
              <w:top w:type="dxa" w:w="90"/>
              <w:left w:type="dxa" w:w="110"/>
              <w:bottom w:type="dxa" w:w="90"/>
              <w:right w:type="dxa" w:w="110"/>
            </w:tcMar>
            <w:vAlign w:val="center"/>
          </w:tcPr>
          <w:p>
            <w:r>
              <w:rPr>
                <w:b/>
                <w:bCs/>
                <w:color w:val="FFFFFF"/>
                <w:sz w:val="19"/>
                <w:szCs w:val="19"/>
              </w:rPr>
              <w:t xml:space="preserve">Ticket</w:t>
            </w:r>
          </w:p>
        </w:tc>
        <w:tc>
          <w:tcPr>
            <w:tcW w:type="dxa" w:w="2700"/>
            <w:shd w:fill="12213A" w:val="clear"/>
            <w:tcMar>
              <w:top w:type="dxa" w:w="90"/>
              <w:left w:type="dxa" w:w="110"/>
              <w:bottom w:type="dxa" w:w="90"/>
              <w:right w:type="dxa" w:w="110"/>
            </w:tcMar>
            <w:vAlign w:val="center"/>
          </w:tcPr>
          <w:p>
            <w:r>
              <w:rPr>
                <w:b/>
                <w:bCs/>
                <w:color w:val="FFFFFF"/>
                <w:sz w:val="19"/>
                <w:szCs w:val="19"/>
              </w:rPr>
              <w:t xml:space="preserve">Blocks</w:t>
            </w:r>
          </w:p>
        </w:tc>
      </w:tr>
      <w:tr>
        <w:tc>
          <w:tcPr>
            <w:tcW w:type="dxa" w:w="6650"/>
            <w:shd w:fill="FFFFFF" w:val="clear"/>
            <w:tcMar>
              <w:top w:type="dxa" w:w="90"/>
              <w:left w:type="dxa" w:w="110"/>
              <w:bottom w:type="dxa" w:w="90"/>
              <w:right w:type="dxa" w:w="110"/>
            </w:tcMar>
            <w:vAlign w:val="center"/>
          </w:tcPr>
          <w:p>
            <w:r>
              <w:rPr>
                <w:b w:val="false"/>
                <w:bCs w:val="false"/>
                <w:color w:val="1A1A1A"/>
                <w:sz w:val="19"/>
                <w:szCs w:val="19"/>
              </w:rPr>
              <w:t xml:space="preserve">Rename the 22 duplicate “Settings” Figma frames with distinguishing labels (Account, Privacy, Notifications, etc.)</w:t>
            </w:r>
          </w:p>
        </w:tc>
        <w:tc>
          <w:tcPr>
            <w:tcW w:type="dxa" w:w="2700"/>
            <w:shd w:fill="FFFFFF" w:val="clear"/>
            <w:tcMar>
              <w:top w:type="dxa" w:w="90"/>
              <w:left w:type="dxa" w:w="110"/>
              <w:bottom w:type="dxa" w:w="90"/>
              <w:right w:type="dxa" w:w="110"/>
            </w:tcMar>
            <w:vAlign w:val="center"/>
          </w:tcPr>
          <w:p>
            <w:r>
              <w:rPr>
                <w:b w:val="false"/>
                <w:bCs w:val="false"/>
                <w:color w:val="1A1A1A"/>
                <w:sz w:val="19"/>
                <w:szCs w:val="19"/>
              </w:rPr>
              <w:t xml:space="preserve">Sprint 6 settings consolidation</w:t>
            </w:r>
          </w:p>
        </w:tc>
      </w:tr>
      <w:tr>
        <w:tc>
          <w:tcPr>
            <w:tcW w:type="dxa" w:w="6650"/>
            <w:shd w:fill="EFF3EE" w:val="clear"/>
            <w:tcMar>
              <w:top w:type="dxa" w:w="90"/>
              <w:left w:type="dxa" w:w="110"/>
              <w:bottom w:type="dxa" w:w="90"/>
              <w:right w:type="dxa" w:w="110"/>
            </w:tcMar>
            <w:vAlign w:val="center"/>
          </w:tcPr>
          <w:p>
            <w:r>
              <w:rPr>
                <w:b w:val="false"/>
                <w:bCs w:val="false"/>
                <w:color w:val="1A1A1A"/>
                <w:sz w:val="19"/>
                <w:szCs w:val="19"/>
              </w:rPr>
              <w:t xml:space="preserve">Rename the nine generically-named component sets (“Component 1,” “Component 10,” etc.) by function</w:t>
            </w:r>
          </w:p>
        </w:tc>
        <w:tc>
          <w:tcPr>
            <w:tcW w:type="dxa" w:w="2700"/>
            <w:shd w:fill="EFF3EE" w:val="clear"/>
            <w:tcMar>
              <w:top w:type="dxa" w:w="90"/>
              <w:left w:type="dxa" w:w="110"/>
              <w:bottom w:type="dxa" w:w="90"/>
              <w:right w:type="dxa" w:w="110"/>
            </w:tcMar>
            <w:vAlign w:val="center"/>
          </w:tcPr>
          <w:p>
            <w:r>
              <w:rPr>
                <w:b w:val="false"/>
                <w:bCs w:val="false"/>
                <w:color w:val="1A1A1A"/>
                <w:sz w:val="19"/>
                <w:szCs w:val="19"/>
              </w:rPr>
              <w:t xml:space="preserve">All sprints using figma-to-code</w:t>
            </w:r>
          </w:p>
        </w:tc>
      </w:tr>
      <w:tr>
        <w:tc>
          <w:tcPr>
            <w:tcW w:type="dxa" w:w="6650"/>
            <w:shd w:fill="FFFFFF" w:val="clear"/>
            <w:tcMar>
              <w:top w:type="dxa" w:w="90"/>
              <w:left w:type="dxa" w:w="110"/>
              <w:bottom w:type="dxa" w:w="90"/>
              <w:right w:type="dxa" w:w="110"/>
            </w:tcMar>
            <w:vAlign w:val="center"/>
          </w:tcPr>
          <w:p>
            <w:r>
              <w:rPr>
                <w:b w:val="false"/>
                <w:bCs w:val="false"/>
                <w:color w:val="1A1A1A"/>
                <w:sz w:val="19"/>
                <w:szCs w:val="19"/>
              </w:rPr>
              <w:t xml:space="preserve">Fix the misspelled “Settingd” frame (node 1620:13390)</w:t>
            </w:r>
          </w:p>
        </w:tc>
        <w:tc>
          <w:tcPr>
            <w:tcW w:type="dxa" w:w="2700"/>
            <w:shd w:fill="FFFFFF" w:val="clear"/>
            <w:tcMar>
              <w:top w:type="dxa" w:w="90"/>
              <w:left w:type="dxa" w:w="110"/>
              <w:bottom w:type="dxa" w:w="90"/>
              <w:right w:type="dxa" w:w="110"/>
            </w:tcMar>
            <w:vAlign w:val="center"/>
          </w:tcPr>
          <w:p>
            <w:r>
              <w:rPr>
                <w:b w:val="false"/>
                <w:bCs w:val="false"/>
                <w:color w:val="1A1A1A"/>
                <w:sz w:val="19"/>
                <w:szCs w:val="19"/>
              </w:rPr>
              <w:t xml:space="preserve">Sprint 6</w:t>
            </w:r>
          </w:p>
        </w:tc>
      </w:tr>
      <w:tr>
        <w:tc>
          <w:tcPr>
            <w:tcW w:type="dxa" w:w="6650"/>
            <w:shd w:fill="EFF3EE" w:val="clear"/>
            <w:tcMar>
              <w:top w:type="dxa" w:w="90"/>
              <w:left w:type="dxa" w:w="110"/>
              <w:bottom w:type="dxa" w:w="90"/>
              <w:right w:type="dxa" w:w="110"/>
            </w:tcMar>
            <w:vAlign w:val="center"/>
          </w:tcPr>
          <w:p>
            <w:r>
              <w:rPr>
                <w:b w:val="false"/>
                <w:bCs w:val="false"/>
                <w:color w:val="1A1A1A"/>
                <w:sz w:val="19"/>
                <w:szCs w:val="19"/>
              </w:rPr>
              <w:t xml:space="preserve">Update or remove the on-board sticky note about missing screens, now that Settings, Search and Trending have been added</w:t>
            </w:r>
          </w:p>
        </w:tc>
        <w:tc>
          <w:tcPr>
            <w:tcW w:type="dxa" w:w="2700"/>
            <w:shd w:fill="EFF3EE" w:val="clear"/>
            <w:tcMar>
              <w:top w:type="dxa" w:w="90"/>
              <w:left w:type="dxa" w:w="110"/>
              <w:bottom w:type="dxa" w:w="90"/>
              <w:right w:type="dxa" w:w="110"/>
            </w:tcMar>
            <w:vAlign w:val="center"/>
          </w:tcPr>
          <w:p>
            <w:r>
              <w:rPr>
                <w:b w:val="false"/>
                <w:bCs w:val="false"/>
                <w:color w:val="1A1A1A"/>
                <w:sz w:val="19"/>
                <w:szCs w:val="19"/>
              </w:rPr>
              <w:t xml:space="preserve">None — housekeeping only</w:t>
            </w:r>
          </w:p>
        </w:tc>
      </w:tr>
      <w:tr>
        <w:tc>
          <w:tcPr>
            <w:tcW w:type="dxa" w:w="6650"/>
            <w:shd w:fill="FFFFFF" w:val="clear"/>
            <w:tcMar>
              <w:top w:type="dxa" w:w="90"/>
              <w:left w:type="dxa" w:w="110"/>
              <w:bottom w:type="dxa" w:w="90"/>
              <w:right w:type="dxa" w:w="110"/>
            </w:tcMar>
            <w:vAlign w:val="center"/>
          </w:tcPr>
          <w:p>
            <w:r>
              <w:rPr>
                <w:b w:val="false"/>
                <w:bCs w:val="false"/>
                <w:color w:val="1A1A1A"/>
                <w:sz w:val="19"/>
                <w:szCs w:val="19"/>
              </w:rPr>
              <w:t xml:space="preserve">Standardise on one icon library instead of the current mix (simple-line-icons, eva-icons, ci, bx, akar-icons)</w:t>
            </w:r>
          </w:p>
        </w:tc>
        <w:tc>
          <w:tcPr>
            <w:tcW w:type="dxa" w:w="2700"/>
            <w:shd w:fill="FFFFFF" w:val="clear"/>
            <w:tcMar>
              <w:top w:type="dxa" w:w="90"/>
              <w:left w:type="dxa" w:w="110"/>
              <w:bottom w:type="dxa" w:w="90"/>
              <w:right w:type="dxa" w:w="110"/>
            </w:tcMar>
            <w:vAlign w:val="center"/>
          </w:tcPr>
          <w:p>
            <w:r>
              <w:rPr>
                <w:b w:val="false"/>
                <w:bCs w:val="false"/>
                <w:color w:val="1A1A1A"/>
                <w:sz w:val="19"/>
                <w:szCs w:val="19"/>
              </w:rPr>
              <w:t xml:space="preserve">None — quality/consistency only, do before Phase 2 design work</w:t>
            </w:r>
          </w:p>
        </w:tc>
      </w:tr>
    </w:tbl>
    <w:p>
      <w:r>
        <w:br w:type="page"/>
      </w:r>
    </w:p>
    <w:p>
      <w:pPr>
        <w:pStyle w:val="Heading1"/>
        <w:spacing w:after="240" w:before="480"/>
      </w:pPr>
      <w:r>
        <w:rPr>
          <w:color w:val="C99A2E"/>
        </w:rPr>
        <w:t xml:space="preserve">11  </w:t>
      </w:r>
      <w:r>
        <w:t xml:space="preserve">Claude Agent Assignment Map</w:t>
      </w:r>
    </w:p>
    <w:p>
      <w:pPr>
        <w:spacing w:after="160" w:line="276"/>
      </w:pPr>
      <w:r>
        <w:t xml:space="preserve">Maps each sprint in Section 6 to the Claude Code subagents specified in Log Book Section 15.2. All eight now exist as working `.claude/agents/` files installed in the project repository — this is no longer a specify-then-build step, it's a live assignment map.</w:t>
      </w:r>
    </w:p>
    <w:p>
      <w:pPr>
        <w:spacing w:after="160" w:line="276"/>
      </w:pPr>
      <w:r>
        <w:rPr>
          <w:b/>
          <w:bCs/>
        </w:rPr>
        <w:t xml:space="preserve">Three of these are sequence-dependent, not parallel-safe: </w:t>
      </w:r>
      <w:r>
        <w:t xml:space="preserve">figma-design-system must finish before figma-screen-builder starts, and figma-to-code only converts what those two have already finished. Sprint D exists specifically to run that sequence ahead of Sprint 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4850"/>
      </w:tblGrid>
      <w:tr>
        <w:trPr>
          <w:tblHeader/>
        </w:trPr>
        <w:tc>
          <w:tcPr>
            <w:tcW w:type="dxa" w:w="2100"/>
            <w:shd w:fill="12213A" w:val="clear"/>
            <w:tcMar>
              <w:top w:type="dxa" w:w="90"/>
              <w:left w:type="dxa" w:w="110"/>
              <w:bottom w:type="dxa" w:w="90"/>
              <w:right w:type="dxa" w:w="110"/>
            </w:tcMar>
            <w:vAlign w:val="center"/>
          </w:tcPr>
          <w:p>
            <w:r>
              <w:rPr>
                <w:b/>
                <w:bCs/>
                <w:color w:val="FFFFFF"/>
                <w:sz w:val="19"/>
                <w:szCs w:val="19"/>
              </w:rPr>
              <w:t xml:space="preserve">Sprint</w:t>
            </w:r>
          </w:p>
        </w:tc>
        <w:tc>
          <w:tcPr>
            <w:tcW w:type="dxa" w:w="2400"/>
            <w:shd w:fill="12213A" w:val="clear"/>
            <w:tcMar>
              <w:top w:type="dxa" w:w="90"/>
              <w:left w:type="dxa" w:w="110"/>
              <w:bottom w:type="dxa" w:w="90"/>
              <w:right w:type="dxa" w:w="110"/>
            </w:tcMar>
            <w:vAlign w:val="center"/>
          </w:tcPr>
          <w:p>
            <w:r>
              <w:rPr>
                <w:b/>
                <w:bCs/>
                <w:color w:val="FFFFFF"/>
                <w:sz w:val="19"/>
                <w:szCs w:val="19"/>
              </w:rPr>
              <w:t xml:space="preserve">Primary agent(s)</w:t>
            </w:r>
          </w:p>
        </w:tc>
        <w:tc>
          <w:tcPr>
            <w:tcW w:type="dxa" w:w="4850"/>
            <w:shd w:fill="12213A" w:val="clear"/>
            <w:tcMar>
              <w:top w:type="dxa" w:w="90"/>
              <w:left w:type="dxa" w:w="110"/>
              <w:bottom w:type="dxa" w:w="90"/>
              <w:right w:type="dxa" w:w="110"/>
            </w:tcMar>
            <w:vAlign w:val="center"/>
          </w:tcPr>
          <w:p>
            <w:r>
              <w:rPr>
                <w:b/>
                <w:bCs/>
                <w:color w:val="FFFFFF"/>
                <w:sz w:val="19"/>
                <w:szCs w:val="19"/>
              </w:rPr>
              <w:t xml:space="preserve">Task</w:t>
            </w:r>
          </w:p>
        </w:tc>
      </w:tr>
      <w:tr>
        <w:tc>
          <w:tcPr>
            <w:tcW w:type="dxa" w:w="2100"/>
            <w:shd w:fill="FFFFFF" w:val="clear"/>
            <w:tcMar>
              <w:top w:type="dxa" w:w="90"/>
              <w:left w:type="dxa" w:w="110"/>
              <w:bottom w:type="dxa" w:w="90"/>
              <w:right w:type="dxa" w:w="110"/>
            </w:tcMar>
            <w:vAlign w:val="center"/>
          </w:tcPr>
          <w:p>
            <w:r>
              <w:rPr>
                <w:b w:val="false"/>
                <w:bCs w:val="false"/>
                <w:color w:val="1A1A1A"/>
                <w:sz w:val="19"/>
                <w:szCs w:val="19"/>
              </w:rPr>
              <w:t xml:space="preserve">D — Design Foundation</w:t>
            </w:r>
          </w:p>
        </w:tc>
        <w:tc>
          <w:tcPr>
            <w:tcW w:type="dxa" w:w="2400"/>
            <w:shd w:fill="FFFFFF" w:val="clear"/>
            <w:tcMar>
              <w:top w:type="dxa" w:w="90"/>
              <w:left w:type="dxa" w:w="110"/>
              <w:bottom w:type="dxa" w:w="90"/>
              <w:right w:type="dxa" w:w="110"/>
            </w:tcMar>
            <w:vAlign w:val="center"/>
          </w:tcPr>
          <w:p>
            <w:r>
              <w:rPr>
                <w:b w:val="false"/>
                <w:bCs w:val="false"/>
                <w:color w:val="1A1A1A"/>
                <w:sz w:val="19"/>
                <w:szCs w:val="19"/>
              </w:rPr>
              <w:t xml:space="preserve">figma-design-system, then figma-screen-builder</w:t>
            </w:r>
          </w:p>
        </w:tc>
        <w:tc>
          <w:tcPr>
            <w:tcW w:type="dxa" w:w="4850"/>
            <w:shd w:fill="FFFFFF" w:val="clear"/>
            <w:tcMar>
              <w:top w:type="dxa" w:w="90"/>
              <w:left w:type="dxa" w:w="110"/>
              <w:bottom w:type="dxa" w:w="90"/>
              <w:right w:type="dxa" w:w="110"/>
            </w:tcMar>
            <w:vAlign w:val="center"/>
          </w:tcPr>
          <w:p>
            <w:r>
              <w:rPr>
                <w:b w:val="false"/>
                <w:bCs w:val="false"/>
                <w:color w:val="1A1A1A"/>
                <w:sz w:val="19"/>
                <w:szCs w:val="19"/>
              </w:rPr>
              <w:t xml:space="preserve">Derive and apply light/dark tokens across existing screens (figma-design-system); once finished, design the six guardian-consent screens from Section 8.3 (figma-screen-builder). Sequenced, not simultaneous.</w:t>
            </w:r>
          </w:p>
        </w:tc>
      </w:tr>
      <w:tr>
        <w:tc>
          <w:tcPr>
            <w:tcW w:type="dxa" w:w="2100"/>
            <w:shd w:fill="EFF3EE" w:val="clear"/>
            <w:tcMar>
              <w:top w:type="dxa" w:w="90"/>
              <w:left w:type="dxa" w:w="110"/>
              <w:bottom w:type="dxa" w:w="90"/>
              <w:right w:type="dxa" w:w="110"/>
            </w:tcMar>
            <w:vAlign w:val="center"/>
          </w:tcPr>
          <w:p>
            <w:r>
              <w:rPr>
                <w:b w:val="false"/>
                <w:bCs w:val="false"/>
                <w:color w:val="1A1A1A"/>
                <w:sz w:val="19"/>
                <w:szCs w:val="19"/>
              </w:rPr>
              <w:t xml:space="preserve">0 — Foundations</w:t>
            </w:r>
          </w:p>
        </w:tc>
        <w:tc>
          <w:tcPr>
            <w:tcW w:type="dxa" w:w="2400"/>
            <w:shd w:fill="EFF3EE" w:val="clear"/>
            <w:tcMar>
              <w:top w:type="dxa" w:w="90"/>
              <w:left w:type="dxa" w:w="110"/>
              <w:bottom w:type="dxa" w:w="90"/>
              <w:right w:type="dxa" w:w="110"/>
            </w:tcMar>
            <w:vAlign w:val="center"/>
          </w:tcPr>
          <w:p>
            <w:r>
              <w:rPr>
                <w:b w:val="false"/>
                <w:bCs w:val="false"/>
                <w:color w:val="1A1A1A"/>
                <w:sz w:val="19"/>
                <w:szCs w:val="19"/>
              </w:rPr>
              <w:t xml:space="preserve">backend-api</w:t>
            </w:r>
          </w:p>
        </w:tc>
        <w:tc>
          <w:tcPr>
            <w:tcW w:type="dxa" w:w="4850"/>
            <w:shd w:fill="EFF3EE" w:val="clear"/>
            <w:tcMar>
              <w:top w:type="dxa" w:w="90"/>
              <w:left w:type="dxa" w:w="110"/>
              <w:bottom w:type="dxa" w:w="90"/>
              <w:right w:type="dxa" w:w="110"/>
            </w:tcMar>
            <w:vAlign w:val="center"/>
          </w:tcPr>
          <w:p>
            <w:r>
              <w:rPr>
                <w:b w:val="false"/>
                <w:bCs w:val="false"/>
                <w:color w:val="1A1A1A"/>
                <w:sz w:val="19"/>
                <w:szCs w:val="19"/>
              </w:rPr>
              <w:t xml:space="preserve">Repo, CI/CD, database and environment setup, in parallel with Sprint D</w:t>
            </w:r>
          </w:p>
        </w:tc>
      </w:tr>
      <w:tr>
        <w:tc>
          <w:tcPr>
            <w:tcW w:type="dxa" w:w="2100"/>
            <w:shd w:fill="FFFFFF" w:val="clear"/>
            <w:tcMar>
              <w:top w:type="dxa" w:w="90"/>
              <w:left w:type="dxa" w:w="110"/>
              <w:bottom w:type="dxa" w:w="90"/>
              <w:right w:type="dxa" w:w="110"/>
            </w:tcMar>
            <w:vAlign w:val="center"/>
          </w:tcPr>
          <w:p>
            <w:r>
              <w:rPr>
                <w:b w:val="false"/>
                <w:bCs w:val="false"/>
                <w:color w:val="1A1A1A"/>
                <w:sz w:val="19"/>
                <w:szCs w:val="19"/>
              </w:rPr>
              <w:t xml:space="preserve">1 — Auth &amp; Consent</w:t>
            </w:r>
          </w:p>
        </w:tc>
        <w:tc>
          <w:tcPr>
            <w:tcW w:type="dxa" w:w="2400"/>
            <w:shd w:fill="FFFFFF" w:val="clear"/>
            <w:tcMar>
              <w:top w:type="dxa" w:w="90"/>
              <w:left w:type="dxa" w:w="110"/>
              <w:bottom w:type="dxa" w:w="90"/>
              <w:right w:type="dxa" w:w="110"/>
            </w:tcMar>
            <w:vAlign w:val="center"/>
          </w:tcPr>
          <w:p>
            <w:r>
              <w:rPr>
                <w:b w:val="false"/>
                <w:bCs w:val="false"/>
                <w:color w:val="1A1A1A"/>
                <w:sz w:val="19"/>
                <w:szCs w:val="19"/>
              </w:rPr>
              <w:t xml:space="preserve">figma-to-code, backend-api, safeguarding-drafter</w:t>
            </w:r>
          </w:p>
        </w:tc>
        <w:tc>
          <w:tcPr>
            <w:tcW w:type="dxa" w:w="4850"/>
            <w:shd w:fill="FFFFFF" w:val="clear"/>
            <w:tcMar>
              <w:top w:type="dxa" w:w="90"/>
              <w:left w:type="dxa" w:w="110"/>
              <w:bottom w:type="dxa" w:w="90"/>
              <w:right w:type="dxa" w:w="110"/>
            </w:tcMar>
            <w:vAlign w:val="center"/>
          </w:tcPr>
          <w:p>
            <w:r>
              <w:rPr>
                <w:b w:val="false"/>
                <w:bCs w:val="false"/>
                <w:color w:val="1A1A1A"/>
                <w:sz w:val="19"/>
                <w:szCs w:val="19"/>
              </w:rPr>
              <w:t xml:space="preserve">figma-to-code converts Sprint D's finished consent screens; backend-api builds the Auth/User/Guardian API; safeguarding-drafter produces the first pass of the Section 8.1 DPIA outline for legal review</w:t>
            </w:r>
          </w:p>
        </w:tc>
      </w:tr>
      <w:tr>
        <w:tc>
          <w:tcPr>
            <w:tcW w:type="dxa" w:w="2100"/>
            <w:shd w:fill="EFF3EE" w:val="clear"/>
            <w:tcMar>
              <w:top w:type="dxa" w:w="90"/>
              <w:left w:type="dxa" w:w="110"/>
              <w:bottom w:type="dxa" w:w="90"/>
              <w:right w:type="dxa" w:w="110"/>
            </w:tcMar>
            <w:vAlign w:val="center"/>
          </w:tcPr>
          <w:p>
            <w:r>
              <w:rPr>
                <w:b w:val="false"/>
                <w:bCs w:val="false"/>
                <w:color w:val="1A1A1A"/>
                <w:sz w:val="19"/>
                <w:szCs w:val="19"/>
              </w:rPr>
              <w:t xml:space="preserve">2 — Feed &amp; Clubs</w:t>
            </w:r>
          </w:p>
        </w:tc>
        <w:tc>
          <w:tcPr>
            <w:tcW w:type="dxa" w:w="2400"/>
            <w:shd w:fill="EFF3EE" w:val="clear"/>
            <w:tcMar>
              <w:top w:type="dxa" w:w="90"/>
              <w:left w:type="dxa" w:w="110"/>
              <w:bottom w:type="dxa" w:w="90"/>
              <w:right w:type="dxa" w:w="110"/>
            </w:tcMar>
            <w:vAlign w:val="center"/>
          </w:tcPr>
          <w:p>
            <w:r>
              <w:rPr>
                <w:b w:val="false"/>
                <w:bCs w:val="false"/>
                <w:color w:val="1A1A1A"/>
                <w:sz w:val="19"/>
                <w:szCs w:val="19"/>
              </w:rPr>
              <w:t xml:space="preserve">figma-to-code, backend-api</w:t>
            </w:r>
          </w:p>
        </w:tc>
        <w:tc>
          <w:tcPr>
            <w:tcW w:type="dxa" w:w="4850"/>
            <w:shd w:fill="EFF3EE" w:val="clear"/>
            <w:tcMar>
              <w:top w:type="dxa" w:w="90"/>
              <w:left w:type="dxa" w:w="110"/>
              <w:bottom w:type="dxa" w:w="90"/>
              <w:right w:type="dxa" w:w="110"/>
            </w:tcMar>
            <w:vAlign w:val="center"/>
          </w:tcPr>
          <w:p>
            <w:r>
              <w:rPr>
                <w:b w:val="false"/>
                <w:bCs w:val="false"/>
                <w:color w:val="1A1A1A"/>
                <w:sz w:val="19"/>
                <w:szCs w:val="19"/>
              </w:rPr>
              <w:t xml:space="preserve">Feed, club pages, follow, saved posts — converting already-existing, already-retouched screens</w:t>
            </w:r>
          </w:p>
        </w:tc>
      </w:tr>
      <w:tr>
        <w:tc>
          <w:tcPr>
            <w:tcW w:type="dxa" w:w="2100"/>
            <w:shd w:fill="FFFFFF" w:val="clear"/>
            <w:tcMar>
              <w:top w:type="dxa" w:w="90"/>
              <w:left w:type="dxa" w:w="110"/>
              <w:bottom w:type="dxa" w:w="90"/>
              <w:right w:type="dxa" w:w="110"/>
            </w:tcMar>
            <w:vAlign w:val="center"/>
          </w:tcPr>
          <w:p>
            <w:r>
              <w:rPr>
                <w:b w:val="false"/>
                <w:bCs w:val="false"/>
                <w:color w:val="1A1A1A"/>
                <w:sz w:val="19"/>
                <w:szCs w:val="19"/>
              </w:rPr>
              <w:t xml:space="preserve">3 — Banter, Community Groups, Messaging, Notifications</w:t>
            </w:r>
          </w:p>
        </w:tc>
        <w:tc>
          <w:tcPr>
            <w:tcW w:type="dxa" w:w="2400"/>
            <w:shd w:fill="FFFFFF" w:val="clear"/>
            <w:tcMar>
              <w:top w:type="dxa" w:w="90"/>
              <w:left w:type="dxa" w:w="110"/>
              <w:bottom w:type="dxa" w:w="90"/>
              <w:right w:type="dxa" w:w="110"/>
            </w:tcMar>
            <w:vAlign w:val="center"/>
          </w:tcPr>
          <w:p>
            <w:r>
              <w:rPr>
                <w:b w:val="false"/>
                <w:bCs w:val="false"/>
                <w:color w:val="1A1A1A"/>
                <w:sz w:val="19"/>
                <w:szCs w:val="19"/>
              </w:rPr>
              <w:t xml:space="preserve">figma-screen-builder, then figma-to-code, backend-api</w:t>
            </w:r>
          </w:p>
        </w:tc>
        <w:tc>
          <w:tcPr>
            <w:tcW w:type="dxa" w:w="4850"/>
            <w:shd w:fill="FFFFFF" w:val="clear"/>
            <w:tcMar>
              <w:top w:type="dxa" w:w="90"/>
              <w:left w:type="dxa" w:w="110"/>
              <w:bottom w:type="dxa" w:w="90"/>
              <w:right w:type="dxa" w:w="110"/>
            </w:tcMar>
            <w:vAlign w:val="center"/>
          </w:tcPr>
          <w:p>
            <w:r>
              <w:rPr>
                <w:b w:val="false"/>
                <w:bCs w:val="false"/>
                <w:color w:val="1A1A1A"/>
                <w:sz w:val="19"/>
                <w:szCs w:val="19"/>
              </w:rPr>
              <w:t xml:space="preserve">figma-screen-builder designs the full-page Notification Center and Community Groups first (neither exists yet); figma-to-code converts both alongside the already-built Banter/messaging screens</w:t>
            </w:r>
          </w:p>
        </w:tc>
      </w:tr>
      <w:tr>
        <w:tc>
          <w:tcPr>
            <w:tcW w:type="dxa" w:w="2100"/>
            <w:shd w:fill="EFF3EE" w:val="clear"/>
            <w:tcMar>
              <w:top w:type="dxa" w:w="90"/>
              <w:left w:type="dxa" w:w="110"/>
              <w:bottom w:type="dxa" w:w="90"/>
              <w:right w:type="dxa" w:w="110"/>
            </w:tcMar>
            <w:vAlign w:val="center"/>
          </w:tcPr>
          <w:p>
            <w:r>
              <w:rPr>
                <w:b w:val="false"/>
                <w:bCs w:val="false"/>
                <w:color w:val="1A1A1A"/>
                <w:sz w:val="19"/>
                <w:szCs w:val="19"/>
              </w:rPr>
              <w:t xml:space="preserve">4 — Sports Hub</w:t>
            </w:r>
          </w:p>
        </w:tc>
        <w:tc>
          <w:tcPr>
            <w:tcW w:type="dxa" w:w="2400"/>
            <w:shd w:fill="EFF3EE" w:val="clear"/>
            <w:tcMar>
              <w:top w:type="dxa" w:w="90"/>
              <w:left w:type="dxa" w:w="110"/>
              <w:bottom w:type="dxa" w:w="90"/>
              <w:right w:type="dxa" w:w="110"/>
            </w:tcMar>
            <w:vAlign w:val="center"/>
          </w:tcPr>
          <w:p>
            <w:r>
              <w:rPr>
                <w:b w:val="false"/>
                <w:bCs w:val="false"/>
                <w:color w:val="1A1A1A"/>
                <w:sz w:val="19"/>
                <w:szCs w:val="19"/>
              </w:rPr>
              <w:t xml:space="preserve">backend-api</w:t>
            </w:r>
          </w:p>
        </w:tc>
        <w:tc>
          <w:tcPr>
            <w:tcW w:type="dxa" w:w="4850"/>
            <w:shd w:fill="EFF3EE" w:val="clear"/>
            <w:tcMar>
              <w:top w:type="dxa" w:w="90"/>
              <w:left w:type="dxa" w:w="110"/>
              <w:bottom w:type="dxa" w:w="90"/>
              <w:right w:type="dxa" w:w="110"/>
            </w:tcMar>
            <w:vAlign w:val="center"/>
          </w:tcPr>
          <w:p>
            <w:r>
              <w:rPr>
                <w:b w:val="false"/>
                <w:bCs w:val="false"/>
                <w:color w:val="1A1A1A"/>
                <w:sz w:val="19"/>
                <w:szCs w:val="19"/>
              </w:rPr>
              <w:t xml:space="preserve">Sports-data vendor integration and match-centre build</w:t>
            </w:r>
          </w:p>
        </w:tc>
      </w:tr>
      <w:tr>
        <w:tc>
          <w:tcPr>
            <w:tcW w:type="dxa" w:w="2100"/>
            <w:shd w:fill="FFFFFF" w:val="clear"/>
            <w:tcMar>
              <w:top w:type="dxa" w:w="90"/>
              <w:left w:type="dxa" w:w="110"/>
              <w:bottom w:type="dxa" w:w="90"/>
              <w:right w:type="dxa" w:w="110"/>
            </w:tcMar>
            <w:vAlign w:val="center"/>
          </w:tcPr>
          <w:p>
            <w:r>
              <w:rPr>
                <w:b w:val="false"/>
                <w:bCs w:val="false"/>
                <w:color w:val="1A1A1A"/>
                <w:sz w:val="19"/>
                <w:szCs w:val="19"/>
              </w:rPr>
              <w:t xml:space="preserve">5 — Admin &amp; Grassroots Records</w:t>
            </w:r>
          </w:p>
        </w:tc>
        <w:tc>
          <w:tcPr>
            <w:tcW w:type="dxa" w:w="2400"/>
            <w:shd w:fill="FFFFFF" w:val="clear"/>
            <w:tcMar>
              <w:top w:type="dxa" w:w="90"/>
              <w:left w:type="dxa" w:w="110"/>
              <w:bottom w:type="dxa" w:w="90"/>
              <w:right w:type="dxa" w:w="110"/>
            </w:tcMar>
            <w:vAlign w:val="center"/>
          </w:tcPr>
          <w:p>
            <w:r>
              <w:rPr>
                <w:b w:val="false"/>
                <w:bCs w:val="false"/>
                <w:color w:val="1A1A1A"/>
                <w:sz w:val="19"/>
                <w:szCs w:val="19"/>
              </w:rPr>
              <w:t xml:space="preserve">figma-screen-builder, then figma-to-code, backend-api</w:t>
            </w:r>
          </w:p>
        </w:tc>
        <w:tc>
          <w:tcPr>
            <w:tcW w:type="dxa" w:w="4850"/>
            <w:shd w:fill="FFFFFF" w:val="clear"/>
            <w:tcMar>
              <w:top w:type="dxa" w:w="90"/>
              <w:left w:type="dxa" w:w="110"/>
              <w:bottom w:type="dxa" w:w="90"/>
              <w:right w:type="dxa" w:w="110"/>
            </w:tcMar>
            <w:vAlign w:val="center"/>
          </w:tcPr>
          <w:p>
            <w:r>
              <w:rPr>
                <w:b w:val="false"/>
                <w:bCs w:val="false"/>
                <w:color w:val="1A1A1A"/>
                <w:sz w:val="19"/>
                <w:szCs w:val="19"/>
              </w:rPr>
              <w:t xml:space="preserve">Admin console converts directly (already fully designed); figma-screen-builder designs Grassroots record-keeping first, since no screen for it exists anywhere yet</w:t>
            </w:r>
          </w:p>
        </w:tc>
      </w:tr>
      <w:tr>
        <w:tc>
          <w:tcPr>
            <w:tcW w:type="dxa" w:w="2100"/>
            <w:shd w:fill="EFF3EE" w:val="clear"/>
            <w:tcMar>
              <w:top w:type="dxa" w:w="90"/>
              <w:left w:type="dxa" w:w="110"/>
              <w:bottom w:type="dxa" w:w="90"/>
              <w:right w:type="dxa" w:w="110"/>
            </w:tcMar>
            <w:vAlign w:val="center"/>
          </w:tcPr>
          <w:p>
            <w:r>
              <w:rPr>
                <w:b w:val="false"/>
                <w:bCs w:val="false"/>
                <w:color w:val="1A1A1A"/>
                <w:sz w:val="19"/>
                <w:szCs w:val="19"/>
              </w:rPr>
              <w:t xml:space="preserve">6 — Hardening &amp; Launch</w:t>
            </w:r>
          </w:p>
        </w:tc>
        <w:tc>
          <w:tcPr>
            <w:tcW w:type="dxa" w:w="2400"/>
            <w:shd w:fill="EFF3EE" w:val="clear"/>
            <w:tcMar>
              <w:top w:type="dxa" w:w="90"/>
              <w:left w:type="dxa" w:w="110"/>
              <w:bottom w:type="dxa" w:w="90"/>
              <w:right w:type="dxa" w:w="110"/>
            </w:tcMar>
            <w:vAlign w:val="center"/>
          </w:tcPr>
          <w:p>
            <w:r>
              <w:rPr>
                <w:b w:val="false"/>
                <w:bCs w:val="false"/>
                <w:color w:val="1A1A1A"/>
                <w:sz w:val="19"/>
                <w:szCs w:val="19"/>
              </w:rPr>
              <w:t xml:space="preserve">qa-reviewer, safeguarding-drafter</w:t>
            </w:r>
          </w:p>
        </w:tc>
        <w:tc>
          <w:tcPr>
            <w:tcW w:type="dxa" w:w="4850"/>
            <w:shd w:fill="EFF3EE" w:val="clear"/>
            <w:tcMar>
              <w:top w:type="dxa" w:w="90"/>
              <w:left w:type="dxa" w:w="110"/>
              <w:bottom w:type="dxa" w:w="90"/>
              <w:right w:type="dxa" w:w="110"/>
            </w:tcMar>
            <w:vAlign w:val="center"/>
          </w:tcPr>
          <w:p>
            <w:r>
              <w:rPr>
                <w:b w:val="false"/>
                <w:bCs w:val="false"/>
                <w:color w:val="1A1A1A"/>
                <w:sz w:val="19"/>
                <w:szCs w:val="19"/>
              </w:rPr>
              <w:t xml:space="preserve">Full regression pass, performance testing, and a final safeguarding-drafter review pass ahead of the human legal sign-off required in Section 7</w:t>
            </w:r>
          </w:p>
        </w:tc>
      </w:tr>
      <w:tr>
        <w:tc>
          <w:tcPr>
            <w:tcW w:type="dxa" w:w="2100"/>
            <w:shd w:fill="FFFFFF" w:val="clear"/>
            <w:tcMar>
              <w:top w:type="dxa" w:w="90"/>
              <w:left w:type="dxa" w:w="110"/>
              <w:bottom w:type="dxa" w:w="90"/>
              <w:right w:type="dxa" w:w="110"/>
            </w:tcMar>
            <w:vAlign w:val="center"/>
          </w:tcPr>
          <w:p>
            <w:r>
              <w:rPr>
                <w:b w:val="false"/>
                <w:bCs w:val="false"/>
                <w:color w:val="1A1A1A"/>
                <w:sz w:val="19"/>
                <w:szCs w:val="19"/>
              </w:rPr>
              <w:t xml:space="preserve">Ongoing</w:t>
            </w:r>
          </w:p>
        </w:tc>
        <w:tc>
          <w:tcPr>
            <w:tcW w:type="dxa" w:w="2400"/>
            <w:shd w:fill="FFFFFF" w:val="clear"/>
            <w:tcMar>
              <w:top w:type="dxa" w:w="90"/>
              <w:left w:type="dxa" w:w="110"/>
              <w:bottom w:type="dxa" w:w="90"/>
              <w:right w:type="dxa" w:w="110"/>
            </w:tcMar>
            <w:vAlign w:val="center"/>
          </w:tcPr>
          <w:p>
            <w:r>
              <w:rPr>
                <w:b w:val="false"/>
                <w:bCs w:val="false"/>
                <w:color w:val="1A1A1A"/>
                <w:sz w:val="19"/>
                <w:szCs w:val="19"/>
              </w:rPr>
              <w:t xml:space="preserve">competitive-scanner</w:t>
            </w:r>
          </w:p>
        </w:tc>
        <w:tc>
          <w:tcPr>
            <w:tcW w:type="dxa" w:w="4850"/>
            <w:shd w:fill="FFFFFF" w:val="clear"/>
            <w:tcMar>
              <w:top w:type="dxa" w:w="90"/>
              <w:left w:type="dxa" w:w="110"/>
              <w:bottom w:type="dxa" w:w="90"/>
              <w:right w:type="dxa" w:w="110"/>
            </w:tcMar>
            <w:vAlign w:val="center"/>
          </w:tcPr>
          <w:p>
            <w:r>
              <w:rPr>
                <w:b w:val="false"/>
                <w:bCs w:val="false"/>
                <w:color w:val="1A1A1A"/>
                <w:sz w:val="19"/>
                <w:szCs w:val="19"/>
              </w:rPr>
              <w:t xml:space="preserve">Runs the quarterly competitive-monitoring cadence from Log Book Section 19, point 10, independent of sprint cycles</w:t>
            </w:r>
          </w:p>
        </w:tc>
      </w:tr>
      <w:tr>
        <w:tc>
          <w:tcPr>
            <w:tcW w:type="dxa" w:w="2100"/>
            <w:shd w:fill="EFF3EE" w:val="clear"/>
            <w:tcMar>
              <w:top w:type="dxa" w:w="90"/>
              <w:left w:type="dxa" w:w="110"/>
              <w:bottom w:type="dxa" w:w="90"/>
              <w:right w:type="dxa" w:w="110"/>
            </w:tcMar>
            <w:vAlign w:val="center"/>
          </w:tcPr>
          <w:p>
            <w:r>
              <w:rPr>
                <w:b w:val="false"/>
                <w:bCs w:val="false"/>
                <w:color w:val="1A1A1A"/>
                <w:sz w:val="19"/>
                <w:szCs w:val="19"/>
              </w:rPr>
              <w:t xml:space="preserve">Ongoing, from Sprint 5 onward</w:t>
            </w:r>
          </w:p>
        </w:tc>
        <w:tc>
          <w:tcPr>
            <w:tcW w:type="dxa" w:w="2400"/>
            <w:shd w:fill="EFF3EE" w:val="clear"/>
            <w:tcMar>
              <w:top w:type="dxa" w:w="90"/>
              <w:left w:type="dxa" w:w="110"/>
              <w:bottom w:type="dxa" w:w="90"/>
              <w:right w:type="dxa" w:w="110"/>
            </w:tcMar>
            <w:vAlign w:val="center"/>
          </w:tcPr>
          <w:p>
            <w:r>
              <w:rPr>
                <w:b w:val="false"/>
                <w:bCs w:val="false"/>
                <w:color w:val="1A1A1A"/>
                <w:sz w:val="19"/>
                <w:szCs w:val="19"/>
              </w:rPr>
              <w:t xml:space="preserve">content-ops</w:t>
            </w:r>
          </w:p>
        </w:tc>
        <w:tc>
          <w:tcPr>
            <w:tcW w:type="dxa" w:w="4850"/>
            <w:shd w:fill="EFF3EE" w:val="clear"/>
            <w:tcMar>
              <w:top w:type="dxa" w:w="90"/>
              <w:left w:type="dxa" w:w="110"/>
              <w:bottom w:type="dxa" w:w="90"/>
              <w:right w:type="dxa" w:w="110"/>
            </w:tcMar>
            <w:vAlign w:val="center"/>
          </w:tcPr>
          <w:p>
            <w:r>
              <w:rPr>
                <w:b w:val="false"/>
                <w:bCs w:val="false"/>
                <w:color w:val="1A1A1A"/>
                <w:sz w:val="19"/>
                <w:szCs w:val="19"/>
              </w:rPr>
              <w:t xml:space="preserve">Drafts blog/news articles once the Admin Console is live; a human reviews before publishing</w:t>
            </w:r>
          </w:p>
        </w:tc>
      </w:tr>
    </w:tbl>
    <w:p>
      <w:pPr>
        <w:spacing w:after="160" w:line="276"/>
      </w:pPr>
      <w:r>
        <w:t xml:space="preserve">Every agent output that touches safeguarding, legal or publishing decisions is reviewed by a human before it ships — this map assigns execution, not approval authority.</w:t>
      </w:r>
    </w:p>
    <w:p>
      <w:r>
        <w:br w:type="page"/>
      </w:r>
    </w:p>
    <w:p>
      <w:pPr>
        <w:pStyle w:val="Heading1"/>
        <w:spacing w:after="240" w:before="480"/>
      </w:pPr>
      <w:r>
        <w:rPr>
          <w:color w:val="C99A2E"/>
        </w:rPr>
        <w:t xml:space="preserve">12  </w:t>
      </w:r>
      <w:r>
        <w:t xml:space="preserve">Appendix — Cross-Reference &amp; Glossary</w:t>
      </w:r>
    </w:p>
    <w:p>
      <w:pPr>
        <w:pStyle w:val="Heading2"/>
        <w:spacing w:after="160" w:before="320"/>
      </w:pPr>
      <w:r>
        <w:t xml:space="preserve">Cross-reference to the Inventor's Log Book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900"/>
        <w:gridCol w:w="5450"/>
      </w:tblGrid>
      <w:tr>
        <w:trPr>
          <w:tblHeader/>
        </w:trPr>
        <w:tc>
          <w:tcPr>
            <w:tcW w:type="dxa" w:w="3900"/>
            <w:shd w:fill="12213A" w:val="clear"/>
            <w:tcMar>
              <w:top w:type="dxa" w:w="90"/>
              <w:left w:type="dxa" w:w="110"/>
              <w:bottom w:type="dxa" w:w="90"/>
              <w:right w:type="dxa" w:w="110"/>
            </w:tcMar>
            <w:vAlign w:val="center"/>
          </w:tcPr>
          <w:p>
            <w:r>
              <w:rPr>
                <w:b/>
                <w:bCs/>
                <w:color w:val="FFFFFF"/>
                <w:sz w:val="19"/>
                <w:szCs w:val="19"/>
              </w:rPr>
              <w:t xml:space="preserve">This plan</w:t>
            </w:r>
          </w:p>
        </w:tc>
        <w:tc>
          <w:tcPr>
            <w:tcW w:type="dxa" w:w="5450"/>
            <w:shd w:fill="12213A" w:val="clear"/>
            <w:tcMar>
              <w:top w:type="dxa" w:w="90"/>
              <w:left w:type="dxa" w:w="110"/>
              <w:bottom w:type="dxa" w:w="90"/>
              <w:right w:type="dxa" w:w="110"/>
            </w:tcMar>
            <w:vAlign w:val="center"/>
          </w:tcPr>
          <w:p>
            <w:r>
              <w:rPr>
                <w:b/>
                <w:bCs/>
                <w:color w:val="FFFFFF"/>
                <w:sz w:val="19"/>
                <w:szCs w:val="19"/>
              </w:rPr>
              <w:t xml:space="preserve">Builds on Log Book</w:t>
            </w:r>
          </w:p>
        </w:tc>
      </w:tr>
      <w:tr>
        <w:tc>
          <w:tcPr>
            <w:tcW w:type="dxa" w:w="3900"/>
            <w:shd w:fill="FFFFFF" w:val="clear"/>
            <w:tcMar>
              <w:top w:type="dxa" w:w="90"/>
              <w:left w:type="dxa" w:w="110"/>
              <w:bottom w:type="dxa" w:w="90"/>
              <w:right w:type="dxa" w:w="110"/>
            </w:tcMar>
            <w:vAlign w:val="center"/>
          </w:tcPr>
          <w:p>
            <w:r>
              <w:rPr>
                <w:b w:val="false"/>
                <w:bCs w:val="false"/>
                <w:color w:val="1A1A1A"/>
                <w:sz w:val="19"/>
                <w:szCs w:val="19"/>
              </w:rPr>
              <w:t xml:space="preserve">Section 2 (MVP Scope)</w:t>
            </w:r>
          </w:p>
        </w:tc>
        <w:tc>
          <w:tcPr>
            <w:tcW w:type="dxa" w:w="5450"/>
            <w:shd w:fill="FFFFFF" w:val="clear"/>
            <w:tcMar>
              <w:top w:type="dxa" w:w="90"/>
              <w:left w:type="dxa" w:w="110"/>
              <w:bottom w:type="dxa" w:w="90"/>
              <w:right w:type="dxa" w:w="110"/>
            </w:tcMar>
            <w:vAlign w:val="center"/>
          </w:tcPr>
          <w:p>
            <w:r>
              <w:rPr>
                <w:b w:val="false"/>
                <w:bCs w:val="false"/>
                <w:color w:val="1A1A1A"/>
                <w:sz w:val="19"/>
                <w:szCs w:val="19"/>
              </w:rPr>
              <w:t xml:space="preserve">Sections 6, 20, 24</w:t>
            </w:r>
          </w:p>
        </w:tc>
      </w:tr>
      <w:tr>
        <w:tc>
          <w:tcPr>
            <w:tcW w:type="dxa" w:w="3900"/>
            <w:shd w:fill="EFF3EE" w:val="clear"/>
            <w:tcMar>
              <w:top w:type="dxa" w:w="90"/>
              <w:left w:type="dxa" w:w="110"/>
              <w:bottom w:type="dxa" w:w="90"/>
              <w:right w:type="dxa" w:w="110"/>
            </w:tcMar>
            <w:vAlign w:val="center"/>
          </w:tcPr>
          <w:p>
            <w:r>
              <w:rPr>
                <w:b w:val="false"/>
                <w:bCs w:val="false"/>
                <w:color w:val="1A1A1A"/>
                <w:sz w:val="19"/>
                <w:szCs w:val="19"/>
              </w:rPr>
              <w:t xml:space="preserve">Section 3–4 (Data Model, API)</w:t>
            </w:r>
          </w:p>
        </w:tc>
        <w:tc>
          <w:tcPr>
            <w:tcW w:type="dxa" w:w="5450"/>
            <w:shd w:fill="EFF3EE" w:val="clear"/>
            <w:tcMar>
              <w:top w:type="dxa" w:w="90"/>
              <w:left w:type="dxa" w:w="110"/>
              <w:bottom w:type="dxa" w:w="90"/>
              <w:right w:type="dxa" w:w="110"/>
            </w:tcMar>
            <w:vAlign w:val="center"/>
          </w:tcPr>
          <w:p>
            <w:r>
              <w:rPr>
                <w:b w:val="false"/>
                <w:bCs w:val="false"/>
                <w:color w:val="1A1A1A"/>
                <w:sz w:val="19"/>
                <w:szCs w:val="19"/>
              </w:rPr>
              <w:t xml:space="preserve">Section 8</w:t>
            </w:r>
          </w:p>
        </w:tc>
      </w:tr>
      <w:tr>
        <w:tc>
          <w:tcPr>
            <w:tcW w:type="dxa" w:w="3900"/>
            <w:shd w:fill="FFFFFF" w:val="clear"/>
            <w:tcMar>
              <w:top w:type="dxa" w:w="90"/>
              <w:left w:type="dxa" w:w="110"/>
              <w:bottom w:type="dxa" w:w="90"/>
              <w:right w:type="dxa" w:w="110"/>
            </w:tcMar>
            <w:vAlign w:val="center"/>
          </w:tcPr>
          <w:p>
            <w:r>
              <w:rPr>
                <w:b w:val="false"/>
                <w:bCs w:val="false"/>
                <w:color w:val="1A1A1A"/>
                <w:sz w:val="19"/>
                <w:szCs w:val="19"/>
              </w:rPr>
              <w:t xml:space="preserve">Section 5 (Infrastructure)</w:t>
            </w:r>
          </w:p>
        </w:tc>
        <w:tc>
          <w:tcPr>
            <w:tcW w:type="dxa" w:w="5450"/>
            <w:shd w:fill="FFFFFF" w:val="clear"/>
            <w:tcMar>
              <w:top w:type="dxa" w:w="90"/>
              <w:left w:type="dxa" w:w="110"/>
              <w:bottom w:type="dxa" w:w="90"/>
              <w:right w:type="dxa" w:w="110"/>
            </w:tcMar>
            <w:vAlign w:val="center"/>
          </w:tcPr>
          <w:p>
            <w:r>
              <w:rPr>
                <w:b w:val="false"/>
                <w:bCs w:val="false"/>
                <w:color w:val="1A1A1A"/>
                <w:sz w:val="19"/>
                <w:szCs w:val="19"/>
              </w:rPr>
              <w:t xml:space="preserve">Section 8</w:t>
            </w:r>
          </w:p>
        </w:tc>
      </w:tr>
      <w:tr>
        <w:tc>
          <w:tcPr>
            <w:tcW w:type="dxa" w:w="3900"/>
            <w:shd w:fill="EFF3EE" w:val="clear"/>
            <w:tcMar>
              <w:top w:type="dxa" w:w="90"/>
              <w:left w:type="dxa" w:w="110"/>
              <w:bottom w:type="dxa" w:w="90"/>
              <w:right w:type="dxa" w:w="110"/>
            </w:tcMar>
            <w:vAlign w:val="center"/>
          </w:tcPr>
          <w:p>
            <w:r>
              <w:rPr>
                <w:b w:val="false"/>
                <w:bCs w:val="false"/>
                <w:color w:val="1A1A1A"/>
                <w:sz w:val="19"/>
                <w:szCs w:val="19"/>
              </w:rPr>
              <w:t xml:space="preserve">Section 6 (Sprint Backlog)</w:t>
            </w:r>
          </w:p>
        </w:tc>
        <w:tc>
          <w:tcPr>
            <w:tcW w:type="dxa" w:w="5450"/>
            <w:shd w:fill="EFF3EE" w:val="clear"/>
            <w:tcMar>
              <w:top w:type="dxa" w:w="90"/>
              <w:left w:type="dxa" w:w="110"/>
              <w:bottom w:type="dxa" w:w="90"/>
              <w:right w:type="dxa" w:w="110"/>
            </w:tcMar>
            <w:vAlign w:val="center"/>
          </w:tcPr>
          <w:p>
            <w:r>
              <w:rPr>
                <w:b w:val="false"/>
                <w:bCs w:val="false"/>
                <w:color w:val="1A1A1A"/>
                <w:sz w:val="19"/>
                <w:szCs w:val="19"/>
              </w:rPr>
              <w:t xml:space="preserve">Sections 14, 23</w:t>
            </w:r>
          </w:p>
        </w:tc>
      </w:tr>
      <w:tr>
        <w:tc>
          <w:tcPr>
            <w:tcW w:type="dxa" w:w="3900"/>
            <w:shd w:fill="FFFFFF" w:val="clear"/>
            <w:tcMar>
              <w:top w:type="dxa" w:w="90"/>
              <w:left w:type="dxa" w:w="110"/>
              <w:bottom w:type="dxa" w:w="90"/>
              <w:right w:type="dxa" w:w="110"/>
            </w:tcMar>
            <w:vAlign w:val="center"/>
          </w:tcPr>
          <w:p>
            <w:r>
              <w:rPr>
                <w:b w:val="false"/>
                <w:bCs w:val="false"/>
                <w:color w:val="1A1A1A"/>
                <w:sz w:val="19"/>
                <w:szCs w:val="19"/>
              </w:rPr>
              <w:t xml:space="preserve">Section 8 (Safeguarding Deliverables)</w:t>
            </w:r>
          </w:p>
        </w:tc>
        <w:tc>
          <w:tcPr>
            <w:tcW w:type="dxa" w:w="5450"/>
            <w:shd w:fill="FFFFFF" w:val="clear"/>
            <w:tcMar>
              <w:top w:type="dxa" w:w="90"/>
              <w:left w:type="dxa" w:w="110"/>
              <w:bottom w:type="dxa" w:w="90"/>
              <w:right w:type="dxa" w:w="110"/>
            </w:tcMar>
            <w:vAlign w:val="center"/>
          </w:tcPr>
          <w:p>
            <w:r>
              <w:rPr>
                <w:b w:val="false"/>
                <w:bCs w:val="false"/>
                <w:color w:val="1A1A1A"/>
                <w:sz w:val="19"/>
                <w:szCs w:val="19"/>
              </w:rPr>
              <w:t xml:space="preserve">Sections 10, 24.5</w:t>
            </w:r>
          </w:p>
        </w:tc>
      </w:tr>
      <w:tr>
        <w:tc>
          <w:tcPr>
            <w:tcW w:type="dxa" w:w="3900"/>
            <w:shd w:fill="EFF3EE" w:val="clear"/>
            <w:tcMar>
              <w:top w:type="dxa" w:w="90"/>
              <w:left w:type="dxa" w:w="110"/>
              <w:bottom w:type="dxa" w:w="90"/>
              <w:right w:type="dxa" w:w="110"/>
            </w:tcMar>
            <w:vAlign w:val="center"/>
          </w:tcPr>
          <w:p>
            <w:r>
              <w:rPr>
                <w:b w:val="false"/>
                <w:bCs w:val="false"/>
                <w:color w:val="1A1A1A"/>
                <w:sz w:val="19"/>
                <w:szCs w:val="19"/>
              </w:rPr>
              <w:t xml:space="preserve">Section 9 (Decision Log)</w:t>
            </w:r>
          </w:p>
        </w:tc>
        <w:tc>
          <w:tcPr>
            <w:tcW w:type="dxa" w:w="5450"/>
            <w:shd w:fill="EFF3EE" w:val="clear"/>
            <w:tcMar>
              <w:top w:type="dxa" w:w="90"/>
              <w:left w:type="dxa" w:w="110"/>
              <w:bottom w:type="dxa" w:w="90"/>
              <w:right w:type="dxa" w:w="110"/>
            </w:tcMar>
            <w:vAlign w:val="center"/>
          </w:tcPr>
          <w:p>
            <w:r>
              <w:rPr>
                <w:b w:val="false"/>
                <w:bCs w:val="false"/>
                <w:color w:val="1A1A1A"/>
                <w:sz w:val="19"/>
                <w:szCs w:val="19"/>
              </w:rPr>
              <w:t xml:space="preserve">Sections 20.5, 21, 24.4</w:t>
            </w:r>
          </w:p>
        </w:tc>
      </w:tr>
      <w:tr>
        <w:tc>
          <w:tcPr>
            <w:tcW w:type="dxa" w:w="3900"/>
            <w:shd w:fill="FFFFFF" w:val="clear"/>
            <w:tcMar>
              <w:top w:type="dxa" w:w="90"/>
              <w:left w:type="dxa" w:w="110"/>
              <w:bottom w:type="dxa" w:w="90"/>
              <w:right w:type="dxa" w:w="110"/>
            </w:tcMar>
            <w:vAlign w:val="center"/>
          </w:tcPr>
          <w:p>
            <w:r>
              <w:rPr>
                <w:b w:val="false"/>
                <w:bCs w:val="false"/>
                <w:color w:val="1A1A1A"/>
                <w:sz w:val="19"/>
                <w:szCs w:val="19"/>
              </w:rPr>
              <w:t xml:space="preserve">Section 10 (Design Cleanup)</w:t>
            </w:r>
          </w:p>
        </w:tc>
        <w:tc>
          <w:tcPr>
            <w:tcW w:type="dxa" w:w="5450"/>
            <w:shd w:fill="FFFFFF" w:val="clear"/>
            <w:tcMar>
              <w:top w:type="dxa" w:w="90"/>
              <w:left w:type="dxa" w:w="110"/>
              <w:bottom w:type="dxa" w:w="90"/>
              <w:right w:type="dxa" w:w="110"/>
            </w:tcMar>
            <w:vAlign w:val="center"/>
          </w:tcPr>
          <w:p>
            <w:r>
              <w:rPr>
                <w:b w:val="false"/>
                <w:bCs w:val="false"/>
                <w:color w:val="1A1A1A"/>
                <w:sz w:val="19"/>
                <w:szCs w:val="19"/>
              </w:rPr>
              <w:t xml:space="preserve">Section 23.5</w:t>
            </w:r>
          </w:p>
        </w:tc>
      </w:tr>
      <w:tr>
        <w:tc>
          <w:tcPr>
            <w:tcW w:type="dxa" w:w="3900"/>
            <w:shd w:fill="EFF3EE" w:val="clear"/>
            <w:tcMar>
              <w:top w:type="dxa" w:w="90"/>
              <w:left w:type="dxa" w:w="110"/>
              <w:bottom w:type="dxa" w:w="90"/>
              <w:right w:type="dxa" w:w="110"/>
            </w:tcMar>
            <w:vAlign w:val="center"/>
          </w:tcPr>
          <w:p>
            <w:r>
              <w:rPr>
                <w:b w:val="false"/>
                <w:bCs w:val="false"/>
                <w:color w:val="1A1A1A"/>
                <w:sz w:val="19"/>
                <w:szCs w:val="19"/>
              </w:rPr>
              <w:t xml:space="preserve">Section 11 (Agent Map)</w:t>
            </w:r>
          </w:p>
        </w:tc>
        <w:tc>
          <w:tcPr>
            <w:tcW w:type="dxa" w:w="5450"/>
            <w:shd w:fill="EFF3EE" w:val="clear"/>
            <w:tcMar>
              <w:top w:type="dxa" w:w="90"/>
              <w:left w:type="dxa" w:w="110"/>
              <w:bottom w:type="dxa" w:w="90"/>
              <w:right w:type="dxa" w:w="110"/>
            </w:tcMar>
            <w:vAlign w:val="center"/>
          </w:tcPr>
          <w:p>
            <w:r>
              <w:rPr>
                <w:b w:val="false"/>
                <w:bCs w:val="false"/>
                <w:color w:val="1A1A1A"/>
                <w:sz w:val="19"/>
                <w:szCs w:val="19"/>
              </w:rPr>
              <w:t xml:space="preserve">Section 15.2</w:t>
            </w:r>
          </w:p>
        </w:tc>
      </w:tr>
    </w:tbl>
    <w:p>
      <w:pPr>
        <w:pStyle w:val="Heading2"/>
        <w:spacing w:after="160" w:before="320"/>
      </w:pPr>
      <w:r>
        <w:t xml:space="preserve">Glossary</w:t>
      </w:r>
    </w:p>
    <w:p>
      <w:pPr>
        <w:pStyle w:val="ListParagraph"/>
        <w:numPr>
          <w:ilvl w:val="0"/>
          <w:numId w:val="2"/>
        </w:numPr>
        <w:spacing w:after="90"/>
      </w:pPr>
      <w:r>
        <w:rPr>
          <w:b/>
          <w:bCs/>
        </w:rPr>
        <w:t xml:space="preserve">Beachhead city: </w:t>
      </w:r>
      <w:r>
        <w:t xml:space="preserve">the single initial launch market for MVP v1, per Log Book Section 20's minimum-entry strategy.</w:t>
      </w:r>
    </w:p>
    <w:p>
      <w:pPr>
        <w:pStyle w:val="ListParagraph"/>
        <w:numPr>
          <w:ilvl w:val="0"/>
          <w:numId w:val="2"/>
        </w:numPr>
        <w:spacing w:after="90"/>
      </w:pPr>
      <w:r>
        <w:rPr>
          <w:b/>
          <w:bCs/>
        </w:rPr>
        <w:t xml:space="preserve">Grassroots record-keeping: </w:t>
      </w:r>
      <w:r>
        <w:t xml:space="preserve">the informal team/fixture/result-logging feature that is MVP v1's concrete form of the blue-ocean wedge — new to this plan, not previously scoped anywhere.</w:t>
      </w:r>
    </w:p>
    <w:p>
      <w:pPr>
        <w:pStyle w:val="ListParagraph"/>
        <w:numPr>
          <w:ilvl w:val="0"/>
          <w:numId w:val="2"/>
        </w:numPr>
        <w:spacing w:after="90"/>
      </w:pPr>
      <w:r>
        <w:rPr>
          <w:b/>
          <w:bCs/>
        </w:rPr>
        <w:t xml:space="preserve">P0 / P1: </w:t>
      </w:r>
      <w:r>
        <w:t xml:space="preserve">blocking / major severity bug classifications used in Section 7's definition of done.</w:t>
      </w:r>
    </w:p>
    <w:p>
      <w:pPr>
        <w:pStyle w:val="ListParagraph"/>
        <w:numPr>
          <w:ilvl w:val="0"/>
          <w:numId w:val="2"/>
        </w:numPr>
        <w:spacing w:after="90"/>
      </w:pPr>
      <w:r>
        <w:rPr>
          <w:b/>
          <w:bCs/>
        </w:rPr>
        <w:t xml:space="preserve">Restricted-pending state: </w:t>
      </w:r>
      <w:r>
        <w:t xml:space="preserve">the limited-permission state a minor's account holds between registration and recorded guardian consent, per Section 8.3.</w:t>
      </w:r>
    </w:p>
    <w:p>
      <w:pPr>
        <w:spacing w:before="400"/>
      </w:pPr>
      <w:r>
        <w:rPr>
          <w:i/>
          <w:iCs/>
          <w:color w:val="5B6570"/>
        </w:rPr>
        <w:t xml:space="preserve">— End of Soccernity MVP Build Plan v1.4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0"/>
        <w:sz w:val="16"/>
        <w:szCs w:val="16"/>
      </w:rPr>
      <w:t xml:space="preserve">Page </w:t>
    </w:r>
    <w:r>
      <w:rPr>
        <w:color w:val="5B6570"/>
        <w:sz w:val="16"/>
        <w:szCs w:val="16"/>
      </w:rPr>
      <w:fldChar w:fldCharType="begin"/>
      <w:instrText xml:space="preserve">PAGE</w:instrText>
      <w:fldChar w:fldCharType="separate"/>
      <w:fldChar w:fldCharType="end"/>
    </w:r>
    <w:r>
      <w:rPr>
        <w:color w:val="5B6570"/>
        <w:sz w:val="16"/>
        <w:szCs w:val="16"/>
      </w:rPr>
      <w:t xml:space="preserve"> of </w:t>
    </w:r>
    <w:r>
      <w:rPr>
        <w:color w:val="5B65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0"/>
        <w:sz w:val="16"/>
        <w:szCs w:val="16"/>
      </w:rPr>
      <w:t xml:space="preserve">SOCCERNITY — MVP Build Plan v1.4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480"/>
    </w:pPr>
    <w:rPr>
      <w:rFonts w:ascii="Calibri" w:cs="Calibri" w:eastAsia="Calibri" w:hAnsi="Calibri"/>
      <w:b/>
      <w:bCs/>
      <w:color w:val="12213A"/>
      <w:sz w:val="32"/>
      <w:szCs w:val="32"/>
    </w:rPr>
  </w:style>
  <w:style w:type="paragraph" w:styleId="Heading2">
    <w:name w:val="Heading 2"/>
    <w:basedOn w:val="Normal"/>
    <w:next w:val="Normal"/>
    <w:qFormat/>
    <w:pPr>
      <w:keepNext/>
      <w:spacing w:after="160" w:before="320"/>
    </w:pPr>
    <w:rPr>
      <w:rFonts w:ascii="Calibri" w:cs="Calibri" w:eastAsia="Calibri" w:hAnsi="Calibri"/>
      <w:b/>
      <w:bCs/>
      <w:color w:val="1E7F4C"/>
      <w:sz w:val="26"/>
      <w:szCs w:val="26"/>
    </w:rPr>
  </w:style>
  <w:style w:type="paragraph" w:styleId="Heading3">
    <w:name w:val="Heading 3"/>
    <w:basedOn w:val="Normal"/>
    <w:next w:val="Normal"/>
    <w:qFormat/>
    <w:pPr>
      <w:keepNext/>
      <w:spacing w:after="100" w:before="220"/>
    </w:pPr>
    <w:rPr>
      <w:rFonts w:ascii="Calibri" w:cs="Calibri" w:eastAsia="Calibri" w:hAnsi="Calibri"/>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2026-08-14T23:21:01.068Z</dcterms:created>
  <dcterms:modified xsi:type="dcterms:W3CDTF">2026-08-14T23:21:01.068Z</dcterms:modified>
</cp:coreProperties>
</file>

<file path=docProps/custom.xml><?xml version="1.0" encoding="utf-8"?>
<Properties xmlns="http://schemas.openxmlformats.org/officeDocument/2006/custom-properties" xmlns:vt="http://schemas.openxmlformats.org/officeDocument/2006/docPropsVTypes"/>
</file>