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Open — Categories icon accepted as interim. Admin Panel icon-library standardisation still open (flagged by every prior retrofit round). Converting the Admin Shell into a real component/instance set recommended as a follow-up, deferred here.</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Open — normalise all Admin Panel frames to 1184 tall and shift content, or accept the y-95 adaptation as canon.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Open — confirm the per-screen labels, and confirm whether form/sub-screens should carry a top-bar action at all when they already have an in-content submit button.</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r>
              <w:t>Open.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r>
              <w:t>Open.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r>
              <w:t>Open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w:t>
            </w:r>
            <w:r>
              <w:t xml:space="preserv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r>
              <w:t>Open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w:t>
            </w:r>
            <w:r>
              <w:t xml:space="preserve">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r>
              <w:t>Open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w:t>
            </w:r>
            <w:r>
              <w:t xml:space="preserve">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r>
              <w:t>Open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r>
              <w:t>Open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w:t>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r>
              <w:t>Open (pre-existing, already noted in CLAUDE.md - now with a concrete dependent). The Message Actions Menu overlay uses a 1px color/icon/inactive border instead of a drop shadow. A shadow/elevation token convention is still unresolved.</w:t>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Open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Open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Open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r>
          </w:p>
          <w:p>
            <w: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Open -- deferred. Fold into the Admin content-area retrofit family (Decision Log #52).</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Open -- palette-compliant deviation from desktop, flagged not silently applied. Confirm the navy-for-draw substitution.</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Open -- minor; conservative choice (preserve each screen's existing sidebar geometry) made meanwhile.</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Open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