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NOT BUILT / FLAGGED for founder + counsel: (a) the PREVIOUS guardian address is not notified that it was replaced (needs a new email template; useful tripwire against a minor swapping a parent for a stranger); (b) the guardian's name and relationship are not re-captured though the new address may be a different person (the Figma screen has an email field only); (c) no frontend wiring yet (Figma 5498:7164 / 5501:8536 exist); (d) the rate limit is the shared per-IP 'auth' bucket, not a per-minor cap, so a minor could still direct a handful of emails to arbitrary addresses. CONSENT_SCREEN_VERSION not bumped (guardian-visible consent wording unchanged). Zero schema change. Forward-pointer on #60; legal-copy Part C row 34 updated.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