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jc w:val="center"/>
      </w:pPr>
      <w:r>
        <w:rPr>
          <w:rFonts w:ascii="Arial" w:cs="Arial" w:eastAsia="Arial" w:hAnsi="Arial"/>
          <w:i/>
          <w:iCs/>
          <w:color w:val="888888"/>
          <w:sz w:val="20"/>
          <w:szCs w:val="20"/>
        </w:rPr>
        <w:t xml:space="preserve">Prediction Markets  ·  Quantitative Finance  ·  Risk Management</w:t>
      </w:r>
    </w:p>
    <w:p>
      <w:pPr>
        <w:spacing w:after="60" w:before="0"/>
        <w:jc w:val="center"/>
      </w:pPr>
      <w:r>
        <w:rPr>
          <w:rFonts w:ascii="Arial" w:cs="Arial" w:eastAsia="Arial" w:hAnsi="Arial"/>
          <w:b/>
          <w:bCs/>
          <w:color w:val="1E3A5F"/>
          <w:sz w:val="44"/>
          <w:szCs w:val="44"/>
        </w:rPr>
        <w:t xml:space="preserve">Pure Arbitrage in Polymarket:</w:t>
      </w:r>
    </w:p>
    <w:p>
      <w:pPr>
        <w:spacing w:after="60" w:before="0"/>
        <w:jc w:val="center"/>
      </w:pPr>
      <w:r>
        <w:rPr>
          <w:rFonts w:ascii="Arial" w:cs="Arial" w:eastAsia="Arial" w:hAnsi="Arial"/>
          <w:b/>
          <w:bCs/>
          <w:color w:val="2E75B6"/>
          <w:sz w:val="36"/>
          <w:szCs w:val="36"/>
        </w:rPr>
        <w:t xml:space="preserve">Buying a Dollar for 95 Cents</w:t>
      </w:r>
    </w:p>
    <w:p>
      <w:pPr>
        <w:spacing w:after="280" w:before="0"/>
        <w:jc w:val="center"/>
      </w:pPr>
      <w:r>
        <w:rPr>
          <w:rFonts w:ascii="Arial" w:cs="Arial" w:eastAsia="Arial" w:hAnsi="Arial"/>
          <w:color w:val="555555"/>
          <w:sz w:val="21"/>
          <w:szCs w:val="21"/>
        </w:rPr>
        <w:t xml:space="preserve">The complete guide to identifying, executing and protecting yourself across the 6 arbitrage strategies that exploit price inefficiencies in decentralised prediction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5F" w:sz="1"/>
              <w:left w:val="single" w:color="1E3A5F" w:sz="1"/>
              <w:bottom w:val="single" w:color="1E3A5F" w:sz="1"/>
              <w:right w:val="single" w:color="1E3A5F" w:sz="1"/>
            </w:tcBorders>
            <w:shd w:fill="EBF3FB" w:val="clear"/>
            <w:tcMar>
              <w:top w:type="dxa" w:w="100"/>
              <w:left w:type="dxa" w:w="100"/>
              <w:bottom w:type="dxa" w:w="100"/>
              <w:right w:type="dxa" w:w="100"/>
            </w:tcMar>
          </w:tcPr>
          <w:p>
            <w:pPr>
              <w:jc w:val="center"/>
            </w:pPr>
            <w:r>
              <w:rPr>
                <w:b/>
                <w:bCs/>
                <w:color w:val="1E3A5F"/>
                <w:sz w:val="28"/>
                <w:szCs w:val="28"/>
              </w:rPr>
              <w:t xml:space="preserve">6</w:t>
            </w:r>
          </w:p>
          <w:p>
            <w:pPr>
              <w:jc w:val="center"/>
            </w:pPr>
            <w:r>
              <w:rPr>
                <w:b/>
                <w:bCs/>
                <w:color w:val="2E75B6"/>
                <w:sz w:val="17"/>
                <w:szCs w:val="17"/>
              </w:rPr>
              <w:t xml:space="preserve">ARB Strategies</w:t>
            </w:r>
          </w:p>
        </w:tc>
        <w:tc>
          <w:tcPr>
            <w:tcW w:type="dxa" w:w="2340"/>
            <w:tcBorders>
              <w:top w:val="single" w:color="1E3A5F" w:sz="1"/>
              <w:left w:val="single" w:color="1E3A5F" w:sz="1"/>
              <w:bottom w:val="single" w:color="1E3A5F" w:sz="1"/>
              <w:right w:val="single" w:color="1E3A5F" w:sz="1"/>
            </w:tcBorders>
            <w:shd w:fill="F7FBFF" w:val="clear"/>
            <w:tcMar>
              <w:top w:type="dxa" w:w="100"/>
              <w:left w:type="dxa" w:w="100"/>
              <w:bottom w:type="dxa" w:w="100"/>
              <w:right w:type="dxa" w:w="100"/>
            </w:tcMar>
          </w:tcPr>
          <w:p>
            <w:pPr>
              <w:jc w:val="center"/>
            </w:pPr>
            <w:r>
              <w:rPr>
                <w:b/>
                <w:bCs/>
                <w:color w:val="1E3A5F"/>
                <w:sz w:val="28"/>
                <w:szCs w:val="28"/>
              </w:rPr>
              <w:t xml:space="preserve">$95k+</w:t>
            </w:r>
          </w:p>
          <w:p>
            <w:pPr>
              <w:jc w:val="center"/>
            </w:pPr>
            <w:r>
              <w:rPr>
                <w:b/>
                <w:bCs/>
                <w:color w:val="2E75B6"/>
                <w:sz w:val="17"/>
                <w:szCs w:val="17"/>
              </w:rPr>
              <w:t xml:space="preserve">Est. annual return ARB-05</w:t>
            </w:r>
          </w:p>
        </w:tc>
        <w:tc>
          <w:tcPr>
            <w:tcW w:type="dxa" w:w="2340"/>
            <w:tcBorders>
              <w:top w:val="single" w:color="1E3A5F" w:sz="1"/>
              <w:left w:val="single" w:color="1E3A5F" w:sz="1"/>
              <w:bottom w:val="single" w:color="1E3A5F" w:sz="1"/>
              <w:right w:val="single" w:color="1E3A5F" w:sz="1"/>
            </w:tcBorders>
            <w:shd w:fill="EBF3FB" w:val="clear"/>
            <w:tcMar>
              <w:top w:type="dxa" w:w="100"/>
              <w:left w:type="dxa" w:w="100"/>
              <w:bottom w:type="dxa" w:w="100"/>
              <w:right w:type="dxa" w:w="100"/>
            </w:tcMar>
          </w:tcPr>
          <w:p>
            <w:pPr>
              <w:jc w:val="center"/>
            </w:pPr>
            <w:r>
              <w:rPr>
                <w:b/>
                <w:bCs/>
                <w:color w:val="1E3A5F"/>
                <w:sz w:val="28"/>
                <w:szCs w:val="28"/>
              </w:rPr>
              <w:t xml:space="preserve">20–30%</w:t>
            </w:r>
          </w:p>
          <w:p>
            <w:pPr>
              <w:jc w:val="center"/>
            </w:pPr>
            <w:r>
              <w:rPr>
                <w:b/>
                <w:bCs/>
                <w:color w:val="2E75B6"/>
                <w:sz w:val="17"/>
                <w:szCs w:val="17"/>
              </w:rPr>
              <w:t xml:space="preserve">Minimum NegRisk ROI</w:t>
            </w:r>
          </w:p>
        </w:tc>
        <w:tc>
          <w:tcPr>
            <w:tcW w:type="dxa" w:w="2340"/>
            <w:tcBorders>
              <w:top w:val="single" w:color="1E3A5F" w:sz="1"/>
              <w:left w:val="single" w:color="1E3A5F" w:sz="1"/>
              <w:bottom w:val="single" w:color="1E3A5F" w:sz="1"/>
              <w:right w:val="single" w:color="1E3A5F" w:sz="1"/>
            </w:tcBorders>
            <w:shd w:fill="F7FBFF" w:val="clear"/>
            <w:tcMar>
              <w:top w:type="dxa" w:w="100"/>
              <w:left w:type="dxa" w:w="100"/>
              <w:bottom w:type="dxa" w:w="100"/>
              <w:right w:type="dxa" w:w="100"/>
            </w:tcMar>
          </w:tcPr>
          <w:p>
            <w:pPr>
              <w:jc w:val="center"/>
            </w:pPr>
            <w:r>
              <w:rPr>
                <w:b/>
                <w:bCs/>
                <w:color w:val="1E3A5F"/>
                <w:sz w:val="28"/>
                <w:szCs w:val="28"/>
              </w:rPr>
              <w:t xml:space="preserve">&lt;1ms</w:t>
            </w:r>
          </w:p>
          <w:p>
            <w:pPr>
              <w:jc w:val="center"/>
            </w:pPr>
            <w:r>
              <w:rPr>
                <w:b/>
                <w:bCs/>
                <w:color w:val="2E75B6"/>
                <w:sz w:val="17"/>
                <w:szCs w:val="17"/>
              </w:rPr>
              <w:t xml:space="preserve">Execution window</w:t>
            </w:r>
          </w:p>
        </w:tc>
      </w:tr>
    </w:tbl>
    <w:p>
      <w:pPr>
        <w:spacing w:after="70" w:before="70"/>
      </w:pPr>
      <w:r>
        <w:t xml:space="preserve"/>
      </w:r>
    </w:p>
    <w:p>
      <w:pPr>
        <w:pBdr>
          <w:bottom w:val="single" w:color="2E75B6" w:sz="4" w:space="1"/>
        </w:pBdr>
        <w:spacing w:after="140" w:before="140"/>
      </w:pPr>
      <w:r>
        <w:t xml:space="preserve"/>
      </w:r>
    </w:p>
    <w:p>
      <w:pPr>
        <w:pStyle w:val="Heading1"/>
        <w:spacing w:after="130" w:before="380"/>
      </w:pPr>
      <w:r>
        <w:rPr>
          <w:b/>
          <w:bCs/>
          <w:color w:val="1E3A5F"/>
          <w:sz w:val="32"/>
          <w:szCs w:val="32"/>
        </w:rPr>
        <w:t xml:space="preserve">Section I — What Is Pure Arbitrage and Why Does It Matter?</w:t>
      </w:r>
    </w:p>
    <w:p>
      <w:pPr>
        <w:spacing w:after="60" w:before="60"/>
      </w:pPr>
      <w:r>
        <w:rPr>
          <w:sz w:val="21"/>
          <w:szCs w:val="21"/>
        </w:rPr>
        <w:t xml:space="preserve">In traditional financial markets, arbitrage exists for fractions of a second before algorithms eliminate it. In decentralised prediction markets like Polymarket, inefficiencies last far longer: hours, sometimes days. This does not happen because of a lack of smart participants, but because of a combination of technological friction, liquidity barriers, and the inherently experimental nature of these markets. The result is an extraordinary opportunity for those who arrive prepared.</w:t>
      </w:r>
    </w:p>
    <w:p>
      <w:pPr>
        <w:spacing w:after="70" w:before="70"/>
      </w:pPr>
      <w:r>
        <w:t xml:space="preserve"/>
      </w:r>
    </w:p>
    <w:p>
      <w:pPr>
        <w:spacing w:after="60" w:before="60"/>
      </w:pPr>
      <w:r>
        <w:rPr>
          <w:sz w:val="21"/>
          <w:szCs w:val="21"/>
        </w:rPr>
        <w:t xml:space="preserve">Pure arbitrage in Polymarket rests on an irrefutable principle: in a binary prediction market, the probabilities of all possible outcomes must sum to exactly $1.00 (100%). When this rule is broken, one can simultaneously buy all possible outcomes and guarantee a risk-free profit — regardless of who wins the election, which team lifts the trophy, or which company files for bankruptcy first. We are not betting on the outcome; we are betting on the arithmetic.</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4"/>
              <w:bottom w:val="single" w:color="1E3A5F" w:sz="1"/>
              <w:right w:val="single" w:color="1E3A5F" w:sz="1"/>
            </w:tcBorders>
            <w:shd w:fill="EBF3FB" w:val="clear"/>
            <w:tcMar>
              <w:top w:type="dxa" w:w="110"/>
              <w:left w:type="dxa" w:w="170"/>
              <w:bottom w:type="dxa" w:w="110"/>
              <w:right w:type="dxa" w:w="170"/>
            </w:tcMar>
          </w:tcPr>
          <w:p>
            <w:r>
              <w:rPr>
                <w:b/>
                <w:bCs/>
                <w:color w:val="1E3A5F"/>
                <w:sz w:val="21"/>
                <w:szCs w:val="21"/>
              </w:rPr>
              <w:t xml:space="preserve">The Fundamental Principle: </w:t>
            </w:r>
            <w:r>
              <w:rPr>
                <w:sz w:val="21"/>
                <w:szCs w:val="21"/>
              </w:rPr>
              <w:t xml:space="preserve">If in a two-option market (YES / NO) the YES price is $0.56 and the NO price is $0.41, the sum is $0.97. Buying both options for $0.97, the investor will always collect $1.00 when the market resolves. Guaranteed profit: $0.03 per contract (3.09% ROI), regardless of the outcome.</w:t>
            </w:r>
          </w:p>
        </w:tc>
      </w:tr>
    </w:tbl>
    <w:p>
      <w:pPr>
        <w:spacing w:after="70" w:before="70"/>
      </w:pPr>
      <w:r>
        <w:t xml:space="preserve"/>
      </w:r>
    </w:p>
    <w:p>
      <w:pPr>
        <w:pStyle w:val="Heading2"/>
        <w:spacing w:after="80" w:before="240"/>
      </w:pPr>
      <w:r>
        <w:rPr>
          <w:b/>
          <w:bCs/>
          <w:color w:val="2E75B6"/>
          <w:sz w:val="26"/>
          <w:szCs w:val="26"/>
        </w:rPr>
        <w:t xml:space="preserve">Why Does This Matter for Investors?</w:t>
      </w:r>
    </w:p>
    <w:p>
      <w:pPr>
        <w:spacing w:after="60" w:before="60"/>
      </w:pPr>
      <w:r>
        <w:rPr>
          <w:sz w:val="21"/>
          <w:szCs w:val="21"/>
        </w:rPr>
        <w:t xml:space="preserve">Unlike traditional investments where returns depend on the market moving in the right direction, pure arbitrage offers something that barely exists in modern finance: returns uncorrelated with any asset. A close election, a football match with an unpredictable result, or an uncertain judicial decision are completely irrelevant to the arbitrageur's outcome. Their enemy is not event uncertainty — it is imperfect execution and cost friction.</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5F" w:sz="1"/>
              <w:left w:val="single" w:color="1E3A5F" w:sz="1"/>
              <w:bottom w:val="single" w:color="1E3A5F" w:sz="1"/>
              <w:right w:val="single" w:color="1E3A5F" w:sz="1"/>
            </w:tcBorders>
            <w:shd w:fill="EBF3FB" w:val="clear"/>
            <w:tcMar>
              <w:top w:type="dxa" w:w="100"/>
              <w:left w:type="dxa" w:w="100"/>
              <w:bottom w:type="dxa" w:w="100"/>
              <w:right w:type="dxa" w:w="100"/>
            </w:tcMar>
          </w:tcPr>
          <w:p>
            <w:pPr>
              <w:jc w:val="center"/>
            </w:pPr>
            <w:r>
              <w:rPr>
                <w:b/>
                <w:bCs/>
                <w:color w:val="1E3A5F"/>
                <w:sz w:val="28"/>
                <w:szCs w:val="28"/>
              </w:rPr>
              <w:t xml:space="preserve">0%</w:t>
            </w:r>
          </w:p>
          <w:p>
            <w:pPr>
              <w:jc w:val="center"/>
            </w:pPr>
            <w:r>
              <w:rPr>
                <w:b/>
                <w:bCs/>
                <w:color w:val="2E75B6"/>
                <w:sz w:val="17"/>
                <w:szCs w:val="17"/>
              </w:rPr>
              <w:t xml:space="preserve">Correlation with traditional markets</w:t>
            </w:r>
          </w:p>
        </w:tc>
        <w:tc>
          <w:tcPr>
            <w:tcW w:type="dxa" w:w="2340"/>
            <w:tcBorders>
              <w:top w:val="single" w:color="1E3A5F" w:sz="1"/>
              <w:left w:val="single" w:color="1E3A5F" w:sz="1"/>
              <w:bottom w:val="single" w:color="1E3A5F" w:sz="1"/>
              <w:right w:val="single" w:color="1E3A5F" w:sz="1"/>
            </w:tcBorders>
            <w:shd w:fill="F7FBFF" w:val="clear"/>
            <w:tcMar>
              <w:top w:type="dxa" w:w="100"/>
              <w:left w:type="dxa" w:w="100"/>
              <w:bottom w:type="dxa" w:w="100"/>
              <w:right w:type="dxa" w:w="100"/>
            </w:tcMar>
          </w:tcPr>
          <w:p>
            <w:pPr>
              <w:jc w:val="center"/>
            </w:pPr>
            <w:r>
              <w:rPr>
                <w:b/>
                <w:bCs/>
                <w:color w:val="1E3A5F"/>
                <w:sz w:val="28"/>
                <w:szCs w:val="28"/>
              </w:rPr>
              <w:t xml:space="preserve">2–5%</w:t>
            </w:r>
          </w:p>
          <w:p>
            <w:pPr>
              <w:jc w:val="center"/>
            </w:pPr>
            <w:r>
              <w:rPr>
                <w:b/>
                <w:bCs/>
                <w:color w:val="2E75B6"/>
                <w:sz w:val="17"/>
                <w:szCs w:val="17"/>
              </w:rPr>
              <w:t xml:space="preserve">Typical ROI per ARB-01/02 trade</w:t>
            </w:r>
          </w:p>
        </w:tc>
        <w:tc>
          <w:tcPr>
            <w:tcW w:type="dxa" w:w="2340"/>
            <w:tcBorders>
              <w:top w:val="single" w:color="1E3A5F" w:sz="1"/>
              <w:left w:val="single" w:color="1E3A5F" w:sz="1"/>
              <w:bottom w:val="single" w:color="1E3A5F" w:sz="1"/>
              <w:right w:val="single" w:color="1E3A5F" w:sz="1"/>
            </w:tcBorders>
            <w:shd w:fill="EBF3FB" w:val="clear"/>
            <w:tcMar>
              <w:top w:type="dxa" w:w="100"/>
              <w:left w:type="dxa" w:w="100"/>
              <w:bottom w:type="dxa" w:w="100"/>
              <w:right w:type="dxa" w:w="100"/>
            </w:tcMar>
          </w:tcPr>
          <w:p>
            <w:pPr>
              <w:jc w:val="center"/>
            </w:pPr>
            <w:r>
              <w:rPr>
                <w:b/>
                <w:bCs/>
                <w:color w:val="1E3A5F"/>
                <w:sz w:val="28"/>
                <w:szCs w:val="28"/>
              </w:rPr>
              <w:t xml:space="preserve">10–30%</w:t>
            </w:r>
          </w:p>
          <w:p>
            <w:pPr>
              <w:jc w:val="center"/>
            </w:pPr>
            <w:r>
              <w:rPr>
                <w:b/>
                <w:bCs/>
                <w:color w:val="2E75B6"/>
                <w:sz w:val="17"/>
                <w:szCs w:val="17"/>
              </w:rPr>
              <w:t xml:space="preserve">Minimum required ROI ARB-03/04</w:t>
            </w:r>
          </w:p>
        </w:tc>
        <w:tc>
          <w:tcPr>
            <w:tcW w:type="dxa" w:w="2340"/>
            <w:tcBorders>
              <w:top w:val="single" w:color="1E3A5F" w:sz="1"/>
              <w:left w:val="single" w:color="1E3A5F" w:sz="1"/>
              <w:bottom w:val="single" w:color="1E3A5F" w:sz="1"/>
              <w:right w:val="single" w:color="1E3A5F" w:sz="1"/>
            </w:tcBorders>
            <w:shd w:fill="F7FBFF" w:val="clear"/>
            <w:tcMar>
              <w:top w:type="dxa" w:w="100"/>
              <w:left w:type="dxa" w:w="100"/>
              <w:bottom w:type="dxa" w:w="100"/>
              <w:right w:type="dxa" w:w="100"/>
            </w:tcMar>
          </w:tcPr>
          <w:p>
            <w:pPr>
              <w:jc w:val="center"/>
            </w:pPr>
            <w:r>
              <w:rPr>
                <w:b/>
                <w:bCs/>
                <w:color w:val="1E3A5F"/>
                <w:sz w:val="28"/>
                <w:szCs w:val="28"/>
              </w:rPr>
              <w:t xml:space="preserve">24/7</w:t>
            </w:r>
          </w:p>
          <w:p>
            <w:pPr>
              <w:jc w:val="center"/>
            </w:pPr>
            <w:r>
              <w:rPr>
                <w:b/>
                <w:bCs/>
                <w:color w:val="2E75B6"/>
                <w:sz w:val="17"/>
                <w:szCs w:val="17"/>
              </w:rPr>
              <w:t xml:space="preserve">Polymarket operating hours</w:t>
            </w:r>
          </w:p>
        </w:tc>
      </w:tr>
    </w:tbl>
    <w:p>
      <w:pPr>
        <w:spacing w:after="70" w:before="70"/>
      </w:pPr>
      <w:r>
        <w:t xml:space="preserve"/>
      </w:r>
    </w:p>
    <w:p>
      <w:pPr>
        <w:pBdr>
          <w:bottom w:val="single" w:color="2E75B6" w:sz="4" w:space="1"/>
        </w:pBdr>
        <w:spacing w:after="140" w:before="140"/>
      </w:pPr>
      <w:r>
        <w:t xml:space="preserve"/>
      </w:r>
    </w:p>
    <w:p>
      <w:pPr>
        <w:pStyle w:val="Heading1"/>
        <w:spacing w:after="130" w:before="380"/>
      </w:pPr>
      <w:r>
        <w:rPr>
          <w:b/>
          <w:bCs/>
          <w:color w:val="1E3A5F"/>
          <w:sz w:val="32"/>
          <w:szCs w:val="32"/>
        </w:rPr>
        <w:t xml:space="preserve">Section II — The 6 Arbitrage Strategies</w:t>
      </w:r>
    </w:p>
    <w:p>
      <w:pPr>
        <w:pStyle w:val="Heading2"/>
        <w:spacing w:after="80" w:before="240"/>
      </w:pPr>
      <w:r>
        <w:rPr>
          <w:b/>
          <w:bCs/>
          <w:color w:val="2E75B6"/>
          <w:sz w:val="26"/>
          <w:szCs w:val="26"/>
        </w:rPr>
        <w:t xml:space="preserve">ARB-01 &amp; ARB-02: The Daily Bread</w:t>
      </w:r>
    </w:p>
    <w:p>
      <w:pPr>
        <w:spacing w:after="80" w:before="60"/>
      </w:pPr>
      <w:r>
        <w:rPr>
          <w:b/>
          <w:bCs/>
          <w:color w:val="FFFFFF"/>
          <w:sz w:val="18"/>
          <w:szCs w:val="18"/>
          <w:shd w:fill="2E75B6" w:val="clear"/>
        </w:rPr>
        <w:t xml:space="preserve">BINARY  ·  BEGINNER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4"/>
              <w:bottom w:val="single" w:color="1E3A5F" w:sz="1"/>
              <w:right w:val="single" w:color="1E3A5F" w:sz="1"/>
            </w:tcBorders>
            <w:shd w:fill="EBF3FB" w:val="clear"/>
            <w:tcMar>
              <w:top w:type="dxa" w:w="110"/>
              <w:left w:type="dxa" w:w="170"/>
              <w:bottom w:type="dxa" w:w="110"/>
              <w:right w:type="dxa" w:w="170"/>
            </w:tcMar>
          </w:tcPr>
          <w:p>
            <w:r>
              <w:rPr>
                <w:b/>
                <w:bCs/>
                <w:color w:val="1E3A5F"/>
                <w:sz w:val="21"/>
                <w:szCs w:val="21"/>
              </w:rPr>
              <w:t xml:space="preserve">Strategy Profile: </w:t>
            </w:r>
            <w:r>
              <w:rPr>
                <w:sz w:val="21"/>
                <w:szCs w:val="21"/>
              </w:rPr>
              <w:t xml:space="preserve">BINARY  ·  BEGINNER — These two strategies are the most accessible in the spectrum. They operate on markets with exactly two possible outcomes: YES or NO. Their logic is simple enough for a beginner to grasp in minutes, yet executing them correctly requires technology. ARB-01 targets the opportunity directly on Polymarket; ARB-02 exploits it using contracts with a different time horizon on the same event.</w:t>
            </w:r>
          </w:p>
        </w:tc>
      </w:tr>
    </w:tbl>
    <w:p>
      <w:pPr>
        <w:spacing w:after="70" w:before="70"/>
      </w:pPr>
      <w:r>
        <w:t xml:space="preserve"/>
      </w:r>
    </w:p>
    <w:p>
      <w:pPr>
        <w:pStyle w:val="Heading3"/>
        <w:spacing w:after="60" w:before="180"/>
      </w:pPr>
      <w:r>
        <w:rPr>
          <w:b/>
          <w:bCs/>
          <w:color w:val="2E75B6"/>
          <w:sz w:val="23"/>
          <w:szCs w:val="23"/>
        </w:rPr>
        <w:t xml:space="preserve">How to Execute ARB-01 (Simple Binary)</w:t>
      </w:r>
    </w:p>
    <w:p>
      <w:pPr>
        <w:spacing w:after="40" w:before="80"/>
      </w:pPr>
      <w:r>
        <w:rPr>
          <w:b/>
          <w:bCs/>
          <w:color w:val="2E75B6"/>
          <w:sz w:val="22"/>
          <w:szCs w:val="22"/>
        </w:rPr>
        <w:t xml:space="preserve">1  </w:t>
      </w:r>
      <w:r>
        <w:rPr>
          <w:b/>
          <w:bCs/>
          <w:color w:val="1E3A5F"/>
          <w:sz w:val="22"/>
          <w:szCs w:val="22"/>
        </w:rPr>
        <w:t xml:space="preserve">Scan binary markets</w:t>
      </w:r>
    </w:p>
    <w:p>
      <w:pPr>
        <w:spacing w:after="60" w:before="60"/>
      </w:pPr>
      <w:r>
        <w:rPr>
          <w:sz w:val="21"/>
          <w:szCs w:val="21"/>
        </w:rPr>
        <w:t xml:space="preserve">Monitor Polymarket YES/NO markets. Calculate the sum: P_yes + P_no. If the sum is less than $1.00, an arbitrage opportunity exists.</w:t>
      </w:r>
    </w:p>
    <w:p>
      <w:pPr>
        <w:spacing w:after="70" w:before="70"/>
      </w:pPr>
      <w:r>
        <w:t xml:space="preserve"/>
      </w:r>
    </w:p>
    <w:p>
      <w:pPr>
        <w:spacing w:after="40" w:before="80"/>
      </w:pPr>
      <w:r>
        <w:rPr>
          <w:b/>
          <w:bCs/>
          <w:color w:val="2E75B6"/>
          <w:sz w:val="22"/>
          <w:szCs w:val="22"/>
        </w:rPr>
        <w:t xml:space="preserve">2  </w:t>
      </w:r>
      <w:r>
        <w:rPr>
          <w:b/>
          <w:bCs/>
          <w:color w:val="1E3A5F"/>
          <w:sz w:val="22"/>
          <w:szCs w:val="22"/>
        </w:rPr>
        <w:t xml:space="preserve">Verify minimum liquidity</w:t>
      </w:r>
    </w:p>
    <w:p>
      <w:pPr>
        <w:spacing w:after="60" w:before="60"/>
      </w:pPr>
      <w:r>
        <w:rPr>
          <w:sz w:val="21"/>
          <w:szCs w:val="21"/>
        </w:rPr>
        <w:t xml:space="preserve">Confirm the order book has sufficient volume to absorb your position without moving the price. If you want to invest $500, there must be at least $500 available on both sides.</w:t>
      </w:r>
    </w:p>
    <w:p>
      <w:pPr>
        <w:spacing w:after="70" w:before="70"/>
      </w:pPr>
      <w:r>
        <w:t xml:space="preserve"/>
      </w:r>
    </w:p>
    <w:p>
      <w:pPr>
        <w:spacing w:after="40" w:before="80"/>
      </w:pPr>
      <w:r>
        <w:rPr>
          <w:b/>
          <w:bCs/>
          <w:color w:val="2E75B6"/>
          <w:sz w:val="22"/>
          <w:szCs w:val="22"/>
        </w:rPr>
        <w:t xml:space="preserve">3  </w:t>
      </w:r>
      <w:r>
        <w:rPr>
          <w:b/>
          <w:bCs/>
          <w:color w:val="1E3A5F"/>
          <w:sz w:val="22"/>
          <w:szCs w:val="22"/>
        </w:rPr>
        <w:t xml:space="preserve">Simultaneous parallel execution</w:t>
      </w:r>
    </w:p>
    <w:p>
      <w:pPr>
        <w:spacing w:after="60" w:before="60"/>
      </w:pPr>
      <w:r>
        <w:rPr>
          <w:sz w:val="21"/>
          <w:szCs w:val="21"/>
        </w:rPr>
        <w:t xml:space="preserve">Buy YES and NO at the same time using asyncio or parallel execution. Never buy one then the other; the price can move in the interval.</w:t>
      </w:r>
    </w:p>
    <w:p>
      <w:pPr>
        <w:spacing w:after="70" w:before="70"/>
      </w:pPr>
      <w:r>
        <w:t xml:space="preserve"/>
      </w:r>
    </w:p>
    <w:p>
      <w:pPr>
        <w:spacing w:after="40" w:before="80"/>
      </w:pPr>
      <w:r>
        <w:rPr>
          <w:b/>
          <w:bCs/>
          <w:color w:val="2E75B6"/>
          <w:sz w:val="22"/>
          <w:szCs w:val="22"/>
        </w:rPr>
        <w:t xml:space="preserve">4  </w:t>
      </w:r>
      <w:r>
        <w:rPr>
          <w:b/>
          <w:bCs/>
          <w:color w:val="1E3A5F"/>
          <w:sz w:val="22"/>
          <w:szCs w:val="22"/>
        </w:rPr>
        <w:t xml:space="preserve">Collect at resolution</w:t>
      </w:r>
    </w:p>
    <w:p>
      <w:pPr>
        <w:spacing w:after="60" w:before="60"/>
      </w:pPr>
      <w:r>
        <w:rPr>
          <w:sz w:val="21"/>
          <w:szCs w:val="21"/>
        </w:rPr>
        <w:t xml:space="preserve">When the market resolves, the winning contract pays $1.00. The losing contract is worth $0.00. The profit is the difference between $1.00 and the total purchase cost.</w:t>
      </w:r>
    </w:p>
    <w:p>
      <w:pPr>
        <w:spacing w:after="70" w:before="70"/>
      </w:pPr>
      <w:r>
        <w:t xml:space="preserve"/>
      </w:r>
    </w:p>
    <w:p>
      <w:pPr>
        <w:pStyle w:val="Heading3"/>
        <w:spacing w:after="60" w:before="180"/>
      </w:pPr>
      <w:r>
        <w:rPr>
          <w:b/>
          <w:bCs/>
          <w:color w:val="2E75B6"/>
          <w:sz w:val="23"/>
          <w:szCs w:val="23"/>
        </w:rPr>
        <w:t xml:space="preserve">Numerical Example — ARB-01</w:t>
      </w:r>
    </w:p>
    <w:p>
      <w:pPr>
        <w:spacing w:after="60" w:before="60"/>
      </w:pPr>
      <w:r>
        <w:rPr>
          <w:sz w:val="21"/>
          <w:szCs w:val="21"/>
        </w:rPr>
        <w:t xml:space="preserve">Market: "Will Party X win the elections on November 15th?"</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70"/>
              <w:left w:type="dxa" w:w="90"/>
              <w:bottom w:type="dxa" w:w="70"/>
              <w:right w:type="dxa" w:w="90"/>
            </w:tcMar>
          </w:tcPr>
          <w:p>
            <w:r>
              <w:rPr>
                <w:b/>
                <w:bCs/>
                <w:color w:val="FFFFFF"/>
                <w:sz w:val="19"/>
                <w:szCs w:val="19"/>
              </w:rPr>
              <w:t xml:space="preserve">Contract</w:t>
            </w:r>
          </w:p>
        </w:tc>
        <w:tc>
          <w:tcPr>
            <w:tcW w:type="dxa" w:w="2000"/>
            <w:tcBorders>
              <w:top w:val="single" w:color="1E3A5F" w:sz="1"/>
              <w:left w:val="single" w:color="1E3A5F" w:sz="1"/>
              <w:bottom w:val="single" w:color="1E3A5F" w:sz="1"/>
              <w:right w:val="single" w:color="1E3A5F" w:sz="1"/>
            </w:tcBorders>
            <w:shd w:fill="1E3A5F" w:val="clear"/>
            <w:tcMar>
              <w:top w:type="dxa" w:w="70"/>
              <w:left w:type="dxa" w:w="90"/>
              <w:bottom w:type="dxa" w:w="70"/>
              <w:right w:type="dxa" w:w="90"/>
            </w:tcMar>
          </w:tcPr>
          <w:p>
            <w:r>
              <w:rPr>
                <w:b/>
                <w:bCs/>
                <w:color w:val="FFFFFF"/>
                <w:sz w:val="19"/>
                <w:szCs w:val="19"/>
              </w:rPr>
              <w:t xml:space="preserve">Market Price</w:t>
            </w:r>
          </w:p>
        </w:tc>
        <w:tc>
          <w:tcPr>
            <w:tcW w:type="dxa" w:w="2000"/>
            <w:tcBorders>
              <w:top w:val="single" w:color="1E3A5F" w:sz="1"/>
              <w:left w:val="single" w:color="1E3A5F" w:sz="1"/>
              <w:bottom w:val="single" w:color="1E3A5F" w:sz="1"/>
              <w:right w:val="single" w:color="1E3A5F" w:sz="1"/>
            </w:tcBorders>
            <w:shd w:fill="1E3A5F" w:val="clear"/>
            <w:tcMar>
              <w:top w:type="dxa" w:w="70"/>
              <w:left w:type="dxa" w:w="90"/>
              <w:bottom w:type="dxa" w:w="70"/>
              <w:right w:type="dxa" w:w="90"/>
            </w:tcMar>
          </w:tcPr>
          <w:p>
            <w:r>
              <w:rPr>
                <w:b/>
                <w:bCs/>
                <w:color w:val="FFFFFF"/>
                <w:sz w:val="19"/>
                <w:szCs w:val="19"/>
              </w:rPr>
              <w:t xml:space="preserve">Contracts Bought</w:t>
            </w:r>
          </w:p>
        </w:tc>
        <w:tc>
          <w:tcPr>
            <w:tcW w:type="dxa" w:w="2560"/>
            <w:tcBorders>
              <w:top w:val="single" w:color="1E3A5F" w:sz="1"/>
              <w:left w:val="single" w:color="1E3A5F" w:sz="1"/>
              <w:bottom w:val="single" w:color="1E3A5F" w:sz="1"/>
              <w:right w:val="single" w:color="1E3A5F" w:sz="1"/>
            </w:tcBorders>
            <w:shd w:fill="1E3A5F" w:val="clear"/>
            <w:tcMar>
              <w:top w:type="dxa" w:w="70"/>
              <w:left w:type="dxa" w:w="90"/>
              <w:bottom w:type="dxa" w:w="70"/>
              <w:right w:type="dxa" w:w="90"/>
            </w:tcMar>
          </w:tcPr>
          <w:p>
            <w:r>
              <w:rPr>
                <w:b/>
                <w:bCs/>
                <w:color w:val="FFFFFF"/>
                <w:sz w:val="19"/>
                <w:szCs w:val="19"/>
              </w:rPr>
              <w:t xml:space="preserve">Total Cost</w:t>
            </w:r>
          </w:p>
        </w:tc>
      </w:tr>
      <w:tr>
        <w:tc>
          <w:tcPr>
            <w:tcW w:type="dxa" w:w="28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YES will win</w:t>
            </w:r>
          </w:p>
        </w:tc>
        <w:tc>
          <w:tcPr>
            <w:tcW w:type="dxa" w:w="20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$0.56</w:t>
            </w:r>
          </w:p>
        </w:tc>
        <w:tc>
          <w:tcPr>
            <w:tcW w:type="dxa" w:w="20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100</w:t>
            </w:r>
          </w:p>
        </w:tc>
        <w:tc>
          <w:tcPr>
            <w:tcW w:type="dxa" w:w="256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$56.00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NO will win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$0.41</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100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$41.00</w:t>
            </w:r>
          </w:p>
        </w:tc>
      </w:tr>
      <w:tr>
        <w:tc>
          <w:tcPr>
            <w:tcW w:type="dxa" w:w="28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TOTAL INVESTED</w:t>
            </w:r>
          </w:p>
        </w:tc>
        <w:tc>
          <w:tcPr>
            <w:tcW w:type="dxa" w:w="20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$0.97 / contract</w:t>
            </w:r>
          </w:p>
        </w:tc>
        <w:tc>
          <w:tcPr>
            <w:tcW w:type="dxa" w:w="20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w:t>
            </w:r>
          </w:p>
        </w:tc>
        <w:tc>
          <w:tcPr>
            <w:tcW w:type="dxa" w:w="256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$97.00</w:t>
            </w:r>
          </w:p>
        </w:tc>
      </w:tr>
    </w:tbl>
    <w:p>
      <w:pPr>
        <w:spacing w:after="70" w:before="70"/>
      </w:pPr>
      <w:r>
        <w:t xml:space="preserve"/>
      </w:r>
    </w:p>
    <w:p>
      <w:pPr>
        <w:shd w:fill="F4F4F4" w:val="clear"/>
        <w:spacing w:after="0" w:before="0"/>
        <w:ind w:left="300"/>
      </w:pPr>
      <w:r>
        <w:rPr>
          <w:rFonts w:ascii="Courier New" w:cs="Courier New" w:eastAsia="Courier New" w:hAnsi="Courier New"/>
          <w:color w:val="1A1A1A"/>
          <w:sz w:val="18"/>
          <w:szCs w:val="18"/>
        </w:rPr>
        <w:t xml:space="preserve">Guaranteed payout at resolution:  100 contracts x $1.00  =  $100.00</w:t>
      </w:r>
    </w:p>
    <w:p>
      <w:pPr>
        <w:shd w:fill="F4F4F4" w:val="clear"/>
        <w:spacing w:after="0" w:before="0"/>
        <w:ind w:left="300"/>
      </w:pPr>
      <w:r>
        <w:rPr>
          <w:rFonts w:ascii="Courier New" w:cs="Courier New" w:eastAsia="Courier New" w:hAnsi="Courier New"/>
          <w:color w:val="1A1A1A"/>
          <w:sz w:val="18"/>
          <w:szCs w:val="18"/>
        </w:rPr>
        <w:t xml:space="preserve">Total position cost:                                         $97.00</w:t>
      </w:r>
    </w:p>
    <w:p>
      <w:pPr>
        <w:shd w:fill="F4F4F4" w:val="clear"/>
        <w:spacing w:after="0" w:before="0"/>
        <w:ind w:left="300"/>
      </w:pPr>
      <w:r>
        <w:rPr>
          <w:rFonts w:ascii="Courier New" w:cs="Courier New" w:eastAsia="Courier New" w:hAnsi="Courier New"/>
          <w:color w:val="1A1A1A"/>
          <w:sz w:val="18"/>
          <w:szCs w:val="18"/>
        </w:rPr>
        <w:t xml:space="preserve">─────────────────────────────────────────────────────────────────</w:t>
      </w:r>
    </w:p>
    <w:p>
      <w:pPr>
        <w:shd w:fill="F4F4F4" w:val="clear"/>
        <w:spacing w:after="0" w:before="0"/>
        <w:ind w:left="300"/>
      </w:pPr>
      <w:r>
        <w:rPr>
          <w:rFonts w:ascii="Courier New" w:cs="Courier New" w:eastAsia="Courier New" w:hAnsi="Courier New"/>
          <w:color w:val="1A1A1A"/>
          <w:sz w:val="18"/>
          <w:szCs w:val="18"/>
        </w:rPr>
        <w:t xml:space="preserve">Net profit:                         $100.00 - $97.00      = $3.00</w:t>
      </w:r>
    </w:p>
    <w:p>
      <w:pPr>
        <w:shd w:fill="F4F4F4" w:val="clear"/>
        <w:spacing w:after="0" w:before="0"/>
        <w:ind w:left="300"/>
      </w:pPr>
      <w:r>
        <w:rPr>
          <w:rFonts w:ascii="Courier New" w:cs="Courier New" w:eastAsia="Courier New" w:hAnsi="Courier New"/>
          <w:color w:val="1A1A1A"/>
          <w:sz w:val="18"/>
          <w:szCs w:val="18"/>
        </w:rPr>
        <w:t xml:space="preserve">ROI:                                $3.00 / $97.00        = 3.09%</w:t>
      </w:r>
    </w:p>
    <w:p>
      <w:pPr>
        <w:shd w:fill="F4F4F4" w:val="clear"/>
        <w:spacing w:after="0" w:before="0"/>
        <w:ind w:left="300"/>
      </w:pPr>
      <w:r>
        <w:rPr>
          <w:rFonts w:ascii="Courier New" w:cs="Courier New" w:eastAsia="Courier New" w:hAnsi="Courier New"/>
          <w:color w:val="1A1A1A"/>
          <w:sz w:val="18"/>
          <w:szCs w:val="18"/>
        </w:rPr>
        <w:t xml:space="preserve">Event outcome:  IRRELEVANT to the arbitrageur</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7A3A" w:sz="1"/>
              <w:left w:val="single" w:color="1A7A3A" w:sz="1"/>
              <w:bottom w:val="single" w:color="1A7A3A" w:sz="1"/>
              <w:right w:val="single" w:color="1A7A3A" w:sz="1"/>
            </w:tcBorders>
            <w:shd w:fill="1A7A3A" w:val="clear"/>
            <w:tcMar>
              <w:top w:type="dxa" w:w="70"/>
              <w:left w:type="dxa" w:w="130"/>
              <w:bottom w:type="dxa" w:w="70"/>
              <w:right w:type="dxa" w:w="130"/>
            </w:tcMar>
          </w:tcPr>
          <w:p>
            <w:pPr>
              <w:jc w:val="center"/>
            </w:pPr>
            <w:r>
              <w:rPr>
                <w:b/>
                <w:bCs/>
                <w:color w:val="FFFFFF"/>
                <w:sz w:val="20"/>
                <w:szCs w:val="20"/>
              </w:rPr>
              <w:t xml:space="preserve">Guaranteed profit (before fees)</w:t>
            </w:r>
          </w:p>
        </w:tc>
        <w:tc>
          <w:tcPr>
            <w:tcW w:type="dxa" w:w="4680"/>
            <w:tcBorders>
              <w:top w:val="single" w:color="CC2200" w:sz="1"/>
              <w:left w:val="single" w:color="CC2200" w:sz="1"/>
              <w:bottom w:val="single" w:color="CC2200" w:sz="1"/>
              <w:right w:val="single" w:color="CC2200" w:sz="1"/>
            </w:tcBorders>
            <w:shd w:fill="CC2200" w:val="clear"/>
            <w:tcMar>
              <w:top w:type="dxa" w:w="70"/>
              <w:left w:type="dxa" w:w="130"/>
              <w:bottom w:type="dxa" w:w="70"/>
              <w:right w:type="dxa" w:w="130"/>
            </w:tcMar>
          </w:tcPr>
          <w:p>
            <w:pPr>
              <w:jc w:val="center"/>
            </w:pPr>
            <w:r>
              <w:rPr>
                <w:b/>
                <w:bCs/>
                <w:color w:val="FFFFFF"/>
                <w:sz w:val="20"/>
                <w:szCs w:val="20"/>
              </w:rPr>
              <w:t xml:space="preserve">Estimated network fee (2 txs x $0.50)</w:t>
            </w:r>
          </w:p>
        </w:tc>
      </w:tr>
      <w:tr>
        <w:tc>
          <w:tcPr>
            <w:tcW w:type="dxa" w:w="4680"/>
            <w:tcBorders>
              <w:top w:val="single" w:color="CCCCCC" w:sz="1"/>
              <w:left w:val="single" w:color="CCCCCC" w:sz="1"/>
              <w:bottom w:val="single" w:color="CCCCCC" w:sz="1"/>
              <w:right w:val="single" w:color="CCCCCC" w:sz="1"/>
            </w:tcBorders>
            <w:shd w:fill="EBF8EF" w:val="clear"/>
            <w:tcMar>
              <w:top w:type="dxa" w:w="60"/>
              <w:left w:type="dxa" w:w="130"/>
              <w:bottom w:type="dxa" w:w="60"/>
              <w:right w:type="dxa" w:w="130"/>
            </w:tcMar>
          </w:tcPr>
          <w:p>
            <w:r>
              <w:rPr>
                <w:sz w:val="19"/>
                <w:szCs w:val="19"/>
              </w:rPr>
              <w:t xml:space="preserve">+$3.00 · ROI: 3.09%</w:t>
            </w:r>
          </w:p>
        </w:tc>
        <w:tc>
          <w:tcPr>
            <w:tcW w:type="dxa" w:w="4680"/>
            <w:tcBorders>
              <w:top w:val="single" w:color="CCCCCC" w:sz="1"/>
              <w:left w:val="single" w:color="CCCCCC" w:sz="1"/>
              <w:bottom w:val="single" w:color="CCCCCC" w:sz="1"/>
              <w:right w:val="single" w:color="CCCCCC" w:sz="1"/>
            </w:tcBorders>
            <w:shd w:fill="FFF0EE" w:val="clear"/>
            <w:tcMar>
              <w:top w:type="dxa" w:w="60"/>
              <w:left w:type="dxa" w:w="130"/>
              <w:bottom w:type="dxa" w:w="60"/>
              <w:right w:type="dxa" w:w="130"/>
            </w:tcMar>
          </w:tcPr>
          <w:p>
            <w:r>
              <w:rPr>
                <w:sz w:val="19"/>
                <w:szCs w:val="19"/>
              </w:rPr>
              <w:t xml:space="preserve">−$1.00</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1"/>
              <w:left w:val="single" w:color="1A7A3A" w:sz="4"/>
              <w:bottom w:val="single" w:color="1A7A3A" w:sz="1"/>
              <w:right w:val="single" w:color="1A7A3A" w:sz="1"/>
            </w:tcBorders>
            <w:shd w:fill="EBF8EF" w:val="clear"/>
            <w:tcMar>
              <w:top w:type="dxa" w:w="110"/>
              <w:left w:type="dxa" w:w="170"/>
              <w:bottom w:type="dxa" w:w="110"/>
              <w:right w:type="dxa" w:w="170"/>
            </w:tcMar>
          </w:tcPr>
          <w:p>
            <w:r>
              <w:rPr>
                <w:b/>
                <w:bCs/>
                <w:color w:val="1A7A3A"/>
                <w:sz w:val="21"/>
                <w:szCs w:val="21"/>
              </w:rPr>
              <w:t xml:space="preserve">Net final profit: </w:t>
            </w:r>
            <w:r>
              <w:rPr>
                <w:sz w:val="21"/>
                <w:szCs w:val="21"/>
              </w:rPr>
              <w:t xml:space="preserve">+$2.00  ·  Real ROI: 2.06%</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1"/>
              <w:left w:val="single" w:color="CC7700" w:sz="4"/>
              <w:bottom w:val="single" w:color="CC7700" w:sz="1"/>
              <w:right w:val="single" w:color="CC7700" w:sz="1"/>
            </w:tcBorders>
            <w:shd w:fill="FFF8EC" w:val="clear"/>
            <w:tcMar>
              <w:top w:type="dxa" w:w="110"/>
              <w:left w:type="dxa" w:w="170"/>
              <w:bottom w:type="dxa" w:w="110"/>
              <w:right w:type="dxa" w:w="170"/>
            </w:tcMar>
          </w:tcPr>
          <w:p>
            <w:r>
              <w:rPr>
                <w:b/>
                <w:bCs/>
                <w:color w:val="CC7700"/>
                <w:sz w:val="21"/>
                <w:szCs w:val="21"/>
              </w:rPr>
              <w:t xml:space="preserve">Main Risk ARB-01/02 — Partial Execution: </w:t>
            </w:r>
            <w:r>
              <w:rPr>
                <w:sz w:val="21"/>
                <w:szCs w:val="21"/>
              </w:rPr>
              <w:t xml:space="preserve">If you buy the 100 YES contracts but before buying the 100 NO contracts another bot detects the opportunity and buys NO, the price rises. You now pay $0.48 for NO instead of $0.41. Your total sum would be $1.04 → guaranteed loss. This is why execution must be atomic or near-simultaneous.</w:t>
            </w:r>
          </w:p>
        </w:tc>
      </w:tr>
    </w:tbl>
    <w:p>
      <w:pPr>
        <w:spacing w:after="70" w:before="70"/>
      </w:pPr>
      <w:r>
        <w:t xml:space="preserve"/>
      </w:r>
    </w:p>
    <w:p>
      <w:pPr>
        <w:pStyle w:val="Heading2"/>
        <w:spacing w:after="80" w:before="240"/>
      </w:pPr>
      <w:r>
        <w:rPr>
          <w:b/>
          <w:bCs/>
          <w:color w:val="2E75B6"/>
          <w:sz w:val="26"/>
          <w:szCs w:val="26"/>
        </w:rPr>
        <w:t xml:space="preserve">ARB-03 &amp; ARB-04: The NegRisk Combo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4"/>
              <w:bottom w:val="single" w:color="1E3A5F" w:sz="1"/>
              <w:right w:val="single" w:color="1E3A5F" w:sz="1"/>
            </w:tcBorders>
            <w:shd w:fill="EBF3FB" w:val="clear"/>
            <w:tcMar>
              <w:top w:type="dxa" w:w="110"/>
              <w:left w:type="dxa" w:w="170"/>
              <w:bottom w:type="dxa" w:w="110"/>
              <w:right w:type="dxa" w:w="170"/>
            </w:tcMar>
          </w:tcPr>
          <w:p>
            <w:r>
              <w:rPr>
                <w:b/>
                <w:bCs/>
                <w:color w:val="1E3A5F"/>
                <w:sz w:val="21"/>
                <w:szCs w:val="21"/>
              </w:rPr>
              <w:t xml:space="preserve">Strategy Profile: </w:t>
            </w:r>
            <w:r>
              <w:rPr>
                <w:sz w:val="21"/>
                <w:szCs w:val="21"/>
              </w:rPr>
              <w:t xml:space="preserve">MULTI-OPTION  ·  INTERMEDIATE — Polymarket uses a system called NegRisk for markets with multiple mutually exclusive options: only one can win. A 'Who will win the World Cup?' market with 32 possible teams is a perfect example. The arithmetic is the same: the sum of all probabilities must equal exactly $1.00. When the sum exceeds $1.00, the market is collectively overvalued and selling is the arbitrage; when it falls below, buying all options is the play.</w:t>
            </w:r>
          </w:p>
        </w:tc>
      </w:tr>
    </w:tbl>
    <w:p>
      <w:pPr>
        <w:spacing w:after="70" w:before="70"/>
      </w:pPr>
      <w:r>
        <w:t xml:space="preserve"/>
      </w:r>
    </w:p>
    <w:p>
      <w:pPr>
        <w:pStyle w:val="Heading3"/>
        <w:spacing w:after="60" w:before="180"/>
      </w:pPr>
      <w:r>
        <w:rPr>
          <w:b/>
          <w:bCs/>
          <w:color w:val="2E75B6"/>
          <w:sz w:val="23"/>
          <w:szCs w:val="23"/>
        </w:rPr>
        <w:t xml:space="preserve">How to Execute ARB-03 (Full Basket Buy)</w:t>
      </w:r>
    </w:p>
    <w:p>
      <w:pPr>
        <w:spacing w:after="40" w:before="80"/>
      </w:pPr>
      <w:r>
        <w:rPr>
          <w:b/>
          <w:bCs/>
          <w:color w:val="2E75B6"/>
          <w:sz w:val="22"/>
          <w:szCs w:val="22"/>
        </w:rPr>
        <w:t xml:space="preserve">1  </w:t>
      </w:r>
      <w:r>
        <w:rPr>
          <w:b/>
          <w:bCs/>
          <w:color w:val="1E3A5F"/>
          <w:sz w:val="22"/>
          <w:szCs w:val="22"/>
        </w:rPr>
        <w:t xml:space="preserve">Calculate the sum of all options</w:t>
      </w:r>
    </w:p>
    <w:p>
      <w:pPr>
        <w:spacing w:after="60" w:before="60"/>
      </w:pPr>
      <w:r>
        <w:rPr>
          <w:sz w:val="21"/>
          <w:szCs w:val="21"/>
        </w:rPr>
        <w:t xml:space="preserve">Add the prices of all market options. If Σ P_i &lt; 1.00, there is a full-basket buy opportunity.</w:t>
      </w:r>
    </w:p>
    <w:p>
      <w:pPr>
        <w:spacing w:after="70" w:before="70"/>
      </w:pPr>
      <w:r>
        <w:t xml:space="preserve"/>
      </w:r>
    </w:p>
    <w:p>
      <w:pPr>
        <w:spacing w:after="40" w:before="80"/>
      </w:pPr>
      <w:r>
        <w:rPr>
          <w:b/>
          <w:bCs/>
          <w:color w:val="2E75B6"/>
          <w:sz w:val="22"/>
          <w:szCs w:val="22"/>
        </w:rPr>
        <w:t xml:space="preserve">2  </w:t>
      </w:r>
      <w:r>
        <w:rPr>
          <w:b/>
          <w:bCs/>
          <w:color w:val="1E3A5F"/>
          <w:sz w:val="22"/>
          <w:szCs w:val="22"/>
        </w:rPr>
        <w:t xml:space="preserve">Identify the weakest link</w:t>
      </w:r>
    </w:p>
    <w:p>
      <w:pPr>
        <w:spacing w:after="60" w:before="60"/>
      </w:pPr>
      <w:r>
        <w:rPr>
          <w:sz w:val="21"/>
          <w:szCs w:val="21"/>
        </w:rPr>
        <w:t xml:space="preserve">Verify that each option has sufficient liquidity. A single illiquid option cancels the entire strategy. The arbitrage is only as strong as its weakest option.</w:t>
      </w:r>
    </w:p>
    <w:p>
      <w:pPr>
        <w:spacing w:after="70" w:before="70"/>
      </w:pPr>
      <w:r>
        <w:t xml:space="preserve"/>
      </w:r>
    </w:p>
    <w:p>
      <w:pPr>
        <w:spacing w:after="40" w:before="80"/>
      </w:pPr>
      <w:r>
        <w:rPr>
          <w:b/>
          <w:bCs/>
          <w:color w:val="2E75B6"/>
          <w:sz w:val="22"/>
          <w:szCs w:val="22"/>
        </w:rPr>
        <w:t xml:space="preserve">3  </w:t>
      </w:r>
      <w:r>
        <w:rPr>
          <w:b/>
          <w:bCs/>
          <w:color w:val="1E3A5F"/>
          <w:sz w:val="22"/>
          <w:szCs w:val="22"/>
        </w:rPr>
        <w:t xml:space="preserve">Buy all options simultaneously</w:t>
      </w:r>
    </w:p>
    <w:p>
      <w:pPr>
        <w:spacing w:after="60" w:before="60"/>
      </w:pPr>
      <w:r>
        <w:rPr>
          <w:sz w:val="21"/>
          <w:szCs w:val="21"/>
        </w:rPr>
        <w:t xml:space="preserve">Use a bot with parallel execution to buy the same number of contracts in each option at the same time. The minimum acceptable ROI must be 10–30% to cover the multiple fees.</w:t>
      </w:r>
    </w:p>
    <w:p>
      <w:pPr>
        <w:spacing w:after="70" w:before="70"/>
      </w:pPr>
      <w:r>
        <w:t xml:space="preserve"/>
      </w:r>
    </w:p>
    <w:p>
      <w:pPr>
        <w:spacing w:after="40" w:before="80"/>
      </w:pPr>
      <w:r>
        <w:rPr>
          <w:b/>
          <w:bCs/>
          <w:color w:val="2E75B6"/>
          <w:sz w:val="22"/>
          <w:szCs w:val="22"/>
        </w:rPr>
        <w:t xml:space="preserve">4  </w:t>
      </w:r>
      <w:r>
        <w:rPr>
          <w:b/>
          <w:bCs/>
          <w:color w:val="1E3A5F"/>
          <w:sz w:val="22"/>
          <w:szCs w:val="22"/>
        </w:rPr>
        <w:t xml:space="preserve">Receive payout from the winning option</w:t>
      </w:r>
    </w:p>
    <w:p>
      <w:pPr>
        <w:spacing w:after="60" w:before="60"/>
      </w:pPr>
      <w:r>
        <w:rPr>
          <w:sz w:val="21"/>
          <w:szCs w:val="21"/>
        </w:rPr>
        <w:t xml:space="preserve">Only one contract will pay $1.00. The others will expire at $0.00. If the total basket cost was below $1.00, the difference is the guaranteed profit.</w:t>
      </w:r>
    </w:p>
    <w:p>
      <w:pPr>
        <w:spacing w:after="70" w:before="70"/>
      </w:pPr>
      <w:r>
        <w:t xml:space="preserve"/>
      </w:r>
    </w:p>
    <w:p>
      <w:pPr>
        <w:pStyle w:val="Heading3"/>
        <w:spacing w:after="60" w:before="180"/>
      </w:pPr>
      <w:r>
        <w:rPr>
          <w:b/>
          <w:bCs/>
          <w:color w:val="2E75B6"/>
          <w:sz w:val="23"/>
          <w:szCs w:val="23"/>
        </w:rPr>
        <w:t xml:space="preserve">Numerical Example — ARB-03</w:t>
      </w:r>
    </w:p>
    <w:p>
      <w:pPr>
        <w:spacing w:after="60" w:before="60"/>
      </w:pPr>
      <w:r>
        <w:rPr>
          <w:sz w:val="21"/>
          <w:szCs w:val="21"/>
        </w:rPr>
        <w:t xml:space="preserve">Market: "Which country will win the 2026 FIFA World Cup?" (top 5 favourites)</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70"/>
              <w:left w:type="dxa" w:w="90"/>
              <w:bottom w:type="dxa" w:w="70"/>
              <w:right w:type="dxa" w:w="90"/>
            </w:tcMar>
          </w:tcPr>
          <w:p>
            <w:r>
              <w:rPr>
                <w:b/>
                <w:bCs/>
                <w:color w:val="FFFFFF"/>
                <w:sz w:val="19"/>
                <w:szCs w:val="19"/>
              </w:rPr>
              <w:t xml:space="preserve">Option</w:t>
            </w:r>
          </w:p>
        </w:tc>
        <w:tc>
          <w:tcPr>
            <w:tcW w:type="dxa" w:w="1800"/>
            <w:tcBorders>
              <w:top w:val="single" w:color="1E3A5F" w:sz="1"/>
              <w:left w:val="single" w:color="1E3A5F" w:sz="1"/>
              <w:bottom w:val="single" w:color="1E3A5F" w:sz="1"/>
              <w:right w:val="single" w:color="1E3A5F" w:sz="1"/>
            </w:tcBorders>
            <w:shd w:fill="1E3A5F" w:val="clear"/>
            <w:tcMar>
              <w:top w:type="dxa" w:w="70"/>
              <w:left w:type="dxa" w:w="90"/>
              <w:bottom w:type="dxa" w:w="70"/>
              <w:right w:type="dxa" w:w="90"/>
            </w:tcMar>
          </w:tcPr>
          <w:p>
            <w:r>
              <w:rPr>
                <w:b/>
                <w:bCs/>
                <w:color w:val="FFFFFF"/>
                <w:sz w:val="19"/>
                <w:szCs w:val="19"/>
              </w:rPr>
              <w:t xml:space="preserve">Market Price</w:t>
            </w:r>
          </w:p>
        </w:tc>
        <w:tc>
          <w:tcPr>
            <w:tcW w:type="dxa" w:w="2000"/>
            <w:tcBorders>
              <w:top w:val="single" w:color="1E3A5F" w:sz="1"/>
              <w:left w:val="single" w:color="1E3A5F" w:sz="1"/>
              <w:bottom w:val="single" w:color="1E3A5F" w:sz="1"/>
              <w:right w:val="single" w:color="1E3A5F" w:sz="1"/>
            </w:tcBorders>
            <w:shd w:fill="1E3A5F" w:val="clear"/>
            <w:tcMar>
              <w:top w:type="dxa" w:w="70"/>
              <w:left w:type="dxa" w:w="90"/>
              <w:bottom w:type="dxa" w:w="70"/>
              <w:right w:type="dxa" w:w="90"/>
            </w:tcMar>
          </w:tcPr>
          <w:p>
            <w:r>
              <w:rPr>
                <w:b/>
                <w:bCs/>
                <w:color w:val="FFFFFF"/>
                <w:sz w:val="19"/>
                <w:szCs w:val="19"/>
              </w:rPr>
              <w:t xml:space="preserve">100 Contracts</w:t>
            </w:r>
          </w:p>
        </w:tc>
        <w:tc>
          <w:tcPr>
            <w:tcW w:type="dxa" w:w="3360"/>
            <w:tcBorders>
              <w:top w:val="single" w:color="1E3A5F" w:sz="1"/>
              <w:left w:val="single" w:color="1E3A5F" w:sz="1"/>
              <w:bottom w:val="single" w:color="1E3A5F" w:sz="1"/>
              <w:right w:val="single" w:color="1E3A5F" w:sz="1"/>
            </w:tcBorders>
            <w:shd w:fill="1E3A5F" w:val="clear"/>
            <w:tcMar>
              <w:top w:type="dxa" w:w="70"/>
              <w:left w:type="dxa" w:w="90"/>
              <w:bottom w:type="dxa" w:w="70"/>
              <w:right w:type="dxa" w:w="90"/>
            </w:tcMar>
          </w:tcPr>
          <w:p>
            <w:r>
              <w:rPr>
                <w:b/>
                <w:bCs/>
                <w:color w:val="FFFFFF"/>
                <w:sz w:val="19"/>
                <w:szCs w:val="19"/>
              </w:rPr>
              <w:t xml:space="preserve">Cost</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Brazil</w:t>
            </w:r>
          </w:p>
        </w:tc>
        <w:tc>
          <w:tcPr>
            <w:tcW w:type="dxa" w:w="18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$0.18</w:t>
            </w:r>
          </w:p>
        </w:tc>
        <w:tc>
          <w:tcPr>
            <w:tcW w:type="dxa" w:w="20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100</w:t>
            </w:r>
          </w:p>
        </w:tc>
        <w:tc>
          <w:tcPr>
            <w:tcW w:type="dxa" w:w="336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$18.00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Argentina</w:t>
            </w:r>
          </w:p>
        </w:tc>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$0.16</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$16.00</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France</w:t>
            </w:r>
          </w:p>
        </w:tc>
        <w:tc>
          <w:tcPr>
            <w:tcW w:type="dxa" w:w="18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$0.14</w:t>
            </w:r>
          </w:p>
        </w:tc>
        <w:tc>
          <w:tcPr>
            <w:tcW w:type="dxa" w:w="20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100</w:t>
            </w:r>
          </w:p>
        </w:tc>
        <w:tc>
          <w:tcPr>
            <w:tcW w:type="dxa" w:w="336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$14.00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Spain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$0.13</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$13.00</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England</w:t>
            </w:r>
          </w:p>
        </w:tc>
        <w:tc>
          <w:tcPr>
            <w:tcW w:type="dxa" w:w="18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$0.12</w:t>
            </w:r>
          </w:p>
        </w:tc>
        <w:tc>
          <w:tcPr>
            <w:tcW w:type="dxa" w:w="20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100</w:t>
            </w:r>
          </w:p>
        </w:tc>
        <w:tc>
          <w:tcPr>
            <w:tcW w:type="dxa" w:w="336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$12.00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All others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$0.19</w:t>
            </w:r>
          </w:p>
        </w:tc>
        <w:tc>
          <w:tcPr>
            <w:tcW w:type="dxa" w:w="2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$19.00</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TOTAL BASKET</w:t>
            </w:r>
          </w:p>
        </w:tc>
        <w:tc>
          <w:tcPr>
            <w:tcW w:type="dxa" w:w="18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$0.92 sum</w:t>
            </w:r>
          </w:p>
        </w:tc>
        <w:tc>
          <w:tcPr>
            <w:tcW w:type="dxa" w:w="20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w:t>
            </w:r>
          </w:p>
        </w:tc>
        <w:tc>
          <w:tcPr>
            <w:tcW w:type="dxa" w:w="336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$92.00</w:t>
            </w:r>
          </w:p>
        </w:tc>
      </w:tr>
    </w:tbl>
    <w:p>
      <w:pPr>
        <w:spacing w:after="70" w:before="70"/>
      </w:pPr>
      <w:r>
        <w:t xml:space="preserve"/>
      </w:r>
    </w:p>
    <w:p>
      <w:pPr>
        <w:shd w:fill="F4F4F4" w:val="clear"/>
        <w:spacing w:after="0" w:before="0"/>
        <w:ind w:left="300"/>
      </w:pPr>
      <w:r>
        <w:rPr>
          <w:rFonts w:ascii="Courier New" w:cs="Courier New" w:eastAsia="Courier New" w:hAnsi="Courier New"/>
          <w:color w:val="1A1A1A"/>
          <w:sz w:val="18"/>
          <w:szCs w:val="18"/>
        </w:rPr>
        <w:t xml:space="preserve">Guaranteed payout (1 option wins):  100 x $1.00           = $100.00</w:t>
      </w:r>
    </w:p>
    <w:p>
      <w:pPr>
        <w:shd w:fill="F4F4F4" w:val="clear"/>
        <w:spacing w:after="0" w:before="0"/>
        <w:ind w:left="300"/>
      </w:pPr>
      <w:r>
        <w:rPr>
          <w:rFonts w:ascii="Courier New" w:cs="Courier New" w:eastAsia="Courier New" w:hAnsi="Courier New"/>
          <w:color w:val="1A1A1A"/>
          <w:sz w:val="18"/>
          <w:szCs w:val="18"/>
        </w:rPr>
        <w:t xml:space="preserve">Full basket cost:                                           $92.00</w:t>
      </w:r>
    </w:p>
    <w:p>
      <w:pPr>
        <w:shd w:fill="F4F4F4" w:val="clear"/>
        <w:spacing w:after="0" w:before="0"/>
        <w:ind w:left="300"/>
      </w:pPr>
      <w:r>
        <w:rPr>
          <w:rFonts w:ascii="Courier New" w:cs="Courier New" w:eastAsia="Courier New" w:hAnsi="Courier New"/>
          <w:color w:val="1A1A1A"/>
          <w:sz w:val="18"/>
          <w:szCs w:val="18"/>
        </w:rPr>
        <w:t xml:space="preserve">Estimated fees (6 txns):                                   -$3.00</w:t>
      </w:r>
    </w:p>
    <w:p>
      <w:pPr>
        <w:shd w:fill="F4F4F4" w:val="clear"/>
        <w:spacing w:after="0" w:before="0"/>
        <w:ind w:left="300"/>
      </w:pPr>
      <w:r>
        <w:rPr>
          <w:rFonts w:ascii="Courier New" w:cs="Courier New" w:eastAsia="Courier New" w:hAnsi="Courier New"/>
          <w:color w:val="1A1A1A"/>
          <w:sz w:val="18"/>
          <w:szCs w:val="18"/>
        </w:rPr>
        <w:t xml:space="preserve">─────────────────────────────────────────────────────────────────</w:t>
      </w:r>
    </w:p>
    <w:p>
      <w:pPr>
        <w:shd w:fill="F4F4F4" w:val="clear"/>
        <w:spacing w:after="0" w:before="0"/>
        <w:ind w:left="300"/>
      </w:pPr>
      <w:r>
        <w:rPr>
          <w:rFonts w:ascii="Courier New" w:cs="Courier New" w:eastAsia="Courier New" w:hAnsi="Courier New"/>
          <w:color w:val="1A1A1A"/>
          <w:sz w:val="18"/>
          <w:szCs w:val="18"/>
        </w:rPr>
        <w:t xml:space="preserve">Net profit:  $100.00 - $92.00 - $3.00                    = $5.00</w:t>
      </w:r>
    </w:p>
    <w:p>
      <w:pPr>
        <w:shd w:fill="F4F4F4" w:val="clear"/>
        <w:spacing w:after="0" w:before="0"/>
        <w:ind w:left="300"/>
      </w:pPr>
      <w:r>
        <w:rPr>
          <w:rFonts w:ascii="Courier New" w:cs="Courier New" w:eastAsia="Courier New" w:hAnsi="Courier New"/>
          <w:color w:val="1A1A1A"/>
          <w:sz w:val="18"/>
          <w:szCs w:val="18"/>
        </w:rPr>
        <w:t xml:space="preserve">ROI on capital:  $5.00 / $92.00                          = 5.43%</w:t>
      </w:r>
    </w:p>
    <w:p>
      <w:pPr>
        <w:shd w:fill="F4F4F4" w:val="clear"/>
        <w:spacing w:after="0" w:before="0"/>
        <w:ind w:left="300"/>
      </w:pPr>
      <w:r>
        <w:rPr>
          <w:rFonts w:ascii="Courier New" w:cs="Courier New" w:eastAsia="Courier New" w:hAnsi="Courier New"/>
          <w:color w:val="1A1A1A"/>
          <w:sz w:val="18"/>
          <w:szCs w:val="18"/>
        </w:rPr>
        <w:t xml:space="preserve">Note: If basket sum were &gt;$0.80, the net ROI may not justify the fees.</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7A3A" w:sz="1"/>
              <w:left w:val="single" w:color="1A7A3A" w:sz="1"/>
              <w:bottom w:val="single" w:color="1A7A3A" w:sz="1"/>
              <w:right w:val="single" w:color="1A7A3A" w:sz="1"/>
            </w:tcBorders>
            <w:shd w:fill="1A7A3A" w:val="clear"/>
            <w:tcMar>
              <w:top w:type="dxa" w:w="70"/>
              <w:left w:type="dxa" w:w="130"/>
              <w:bottom w:type="dxa" w:w="70"/>
              <w:right w:type="dxa" w:w="130"/>
            </w:tcMar>
          </w:tcPr>
          <w:p>
            <w:pPr>
              <w:jc w:val="center"/>
            </w:pPr>
            <w:r>
              <w:rPr>
                <w:b/>
                <w:bCs/>
                <w:color w:val="FFFFFF"/>
                <w:sz w:val="20"/>
                <w:szCs w:val="20"/>
              </w:rPr>
              <w:t xml:space="preserve">Inefficiency captured ($1.00 − $0.92)</w:t>
            </w:r>
          </w:p>
        </w:tc>
        <w:tc>
          <w:tcPr>
            <w:tcW w:type="dxa" w:w="4680"/>
            <w:tcBorders>
              <w:top w:val="single" w:color="CC2200" w:sz="1"/>
              <w:left w:val="single" w:color="CC2200" w:sz="1"/>
              <w:bottom w:val="single" w:color="CC2200" w:sz="1"/>
              <w:right w:val="single" w:color="CC2200" w:sz="1"/>
            </w:tcBorders>
            <w:shd w:fill="CC2200" w:val="clear"/>
            <w:tcMar>
              <w:top w:type="dxa" w:w="70"/>
              <w:left w:type="dxa" w:w="130"/>
              <w:bottom w:type="dxa" w:w="70"/>
              <w:right w:type="dxa" w:w="130"/>
            </w:tcMar>
          </w:tcPr>
          <w:p>
            <w:pPr>
              <w:jc w:val="center"/>
            </w:pPr>
            <w:r>
              <w:rPr>
                <w:b/>
                <w:bCs/>
                <w:color w:val="FFFFFF"/>
                <w:sz w:val="20"/>
                <w:szCs w:val="20"/>
              </w:rPr>
              <w:t xml:space="preserve">Net ROI (after 6 fees)</w:t>
            </w:r>
          </w:p>
        </w:tc>
      </w:tr>
      <w:tr>
        <w:tc>
          <w:tcPr>
            <w:tcW w:type="dxa" w:w="4680"/>
            <w:tcBorders>
              <w:top w:val="single" w:color="CCCCCC" w:sz="1"/>
              <w:left w:val="single" w:color="CCCCCC" w:sz="1"/>
              <w:bottom w:val="single" w:color="CCCCCC" w:sz="1"/>
              <w:right w:val="single" w:color="CCCCCC" w:sz="1"/>
            </w:tcBorders>
            <w:shd w:fill="EBF8EF" w:val="clear"/>
            <w:tcMar>
              <w:top w:type="dxa" w:w="60"/>
              <w:left w:type="dxa" w:w="130"/>
              <w:bottom w:type="dxa" w:w="60"/>
              <w:right w:type="dxa" w:w="130"/>
            </w:tcMar>
          </w:tcPr>
          <w:p>
            <w:r>
              <w:rPr>
                <w:sz w:val="19"/>
                <w:szCs w:val="19"/>
              </w:rPr>
              <w:t xml:space="preserve">8 cents per contract</w:t>
            </w:r>
          </w:p>
        </w:tc>
        <w:tc>
          <w:tcPr>
            <w:tcW w:type="dxa" w:w="4680"/>
            <w:tcBorders>
              <w:top w:val="single" w:color="CCCCCC" w:sz="1"/>
              <w:left w:val="single" w:color="CCCCCC" w:sz="1"/>
              <w:bottom w:val="single" w:color="CCCCCC" w:sz="1"/>
              <w:right w:val="single" w:color="CCCCCC" w:sz="1"/>
            </w:tcBorders>
            <w:shd w:fill="FFF0EE" w:val="clear"/>
            <w:tcMar>
              <w:top w:type="dxa" w:w="60"/>
              <w:left w:type="dxa" w:w="130"/>
              <w:bottom w:type="dxa" w:w="60"/>
              <w:right w:type="dxa" w:w="130"/>
            </w:tcMar>
          </w:tcPr>
          <w:p>
            <w:r>
              <w:rPr>
                <w:sz w:val="19"/>
                <w:szCs w:val="19"/>
              </w:rPr>
              <w:t xml:space="preserve">+5.43%</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4"/>
              <w:bottom w:val="single" w:color="1E3A5F" w:sz="1"/>
              <w:right w:val="single" w:color="1E3A5F" w:sz="1"/>
            </w:tcBorders>
            <w:shd w:fill="EBF3FB" w:val="clear"/>
            <w:tcMar>
              <w:top w:type="dxa" w:w="110"/>
              <w:left w:type="dxa" w:w="170"/>
              <w:bottom w:type="dxa" w:w="110"/>
              <w:right w:type="dxa" w:w="170"/>
            </w:tcMar>
          </w:tcPr>
          <w:p>
            <w:r>
              <w:rPr>
                <w:b/>
                <w:bCs/>
                <w:color w:val="1E3A5F"/>
                <w:sz w:val="21"/>
                <w:szCs w:val="21"/>
              </w:rPr>
              <w:t xml:space="preserve">Golden Rule ARB-03/04: </w:t>
            </w:r>
            <w:r>
              <w:rPr>
                <w:sz w:val="21"/>
                <w:szCs w:val="21"/>
              </w:rPr>
              <w:t xml:space="preserve">The number of options determines the failure risk. With 5 options, there are 5 simultaneous transactions. With 10 options, there are 10. The system needs all 10 to execute before any price changes. More options = more demanding technology. The minimum acceptable ROI must scale proportionally: aim for at least 2% of inefficiency per additional option.</w:t>
            </w:r>
          </w:p>
        </w:tc>
      </w:tr>
    </w:tbl>
    <w:p>
      <w:pPr>
        <w:spacing w:after="70" w:before="70"/>
      </w:pPr>
      <w:r>
        <w:t xml:space="preserve"/>
      </w:r>
    </w:p>
    <w:p>
      <w:pPr>
        <w:pStyle w:val="Heading2"/>
        <w:spacing w:after="80" w:before="240"/>
      </w:pPr>
      <w:r>
        <w:rPr>
          <w:b/>
          <w:bCs/>
          <w:color w:val="2E75B6"/>
          <w:sz w:val="26"/>
          <w:szCs w:val="26"/>
        </w:rPr>
        <w:t xml:space="preserve">ARB-05: The Logical Inconsistency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4"/>
              <w:bottom w:val="single" w:color="1E3A5F" w:sz="1"/>
              <w:right w:val="single" w:color="1E3A5F" w:sz="1"/>
            </w:tcBorders>
            <w:shd w:fill="EBF3FB" w:val="clear"/>
            <w:tcMar>
              <w:top w:type="dxa" w:w="110"/>
              <w:left w:type="dxa" w:w="170"/>
              <w:bottom w:type="dxa" w:w="110"/>
              <w:right w:type="dxa" w:w="170"/>
            </w:tcMar>
          </w:tcPr>
          <w:p>
            <w:r>
              <w:rPr>
                <w:b/>
                <w:bCs/>
                <w:color w:val="1E3A5F"/>
                <w:sz w:val="21"/>
                <w:szCs w:val="21"/>
              </w:rPr>
              <w:t xml:space="preserve">Strategy Profile: </w:t>
            </w:r>
            <w:r>
              <w:rPr>
                <w:sz w:val="21"/>
                <w:szCs w:val="21"/>
              </w:rPr>
              <w:t xml:space="preserve">CROSS-MARKET  ·  INSTITUTIONAL — This is the most conceptually sophisticated strategy. It does not look for the sum of probabilities to fail within a single market, but detects logical contradictions between different but related markets. It requires a mathematical solver (often LLM-based) to map causal dependencies between events and precisely value the exploitable differential.</w:t>
            </w:r>
          </w:p>
        </w:tc>
      </w:tr>
    </w:tbl>
    <w:p>
      <w:pPr>
        <w:spacing w:after="70" w:before="70"/>
      </w:pPr>
      <w:r>
        <w:t xml:space="preserve"/>
      </w:r>
    </w:p>
    <w:p>
      <w:pPr>
        <w:pStyle w:val="Heading3"/>
        <w:spacing w:after="60" w:before="180"/>
      </w:pPr>
      <w:r>
        <w:rPr>
          <w:b/>
          <w:bCs/>
          <w:color w:val="2E75B6"/>
          <w:sz w:val="23"/>
          <w:szCs w:val="23"/>
        </w:rPr>
        <w:t xml:space="preserve">Numerical Example — ARB-05</w:t>
      </w:r>
    </w:p>
    <w:p>
      <w:pPr>
        <w:spacing w:after="60" w:before="60"/>
      </w:pPr>
      <w:r>
        <w:rPr>
          <w:sz w:val="21"/>
          <w:szCs w:val="21"/>
        </w:rPr>
        <w:t xml:space="preserve">Case: Inconsistency between a presidential market and a party market</w:t>
      </w:r>
    </w:p>
    <w:p>
      <w:pPr>
        <w:spacing w:after="60" w:before="60"/>
      </w:pPr>
      <w:r>
        <w:rPr>
          <w:sz w:val="21"/>
          <w:szCs w:val="21"/>
        </w:rPr>
        <w:t xml:space="preserve">Polymarket has two simultaneous markets on the same election:</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2560"/>
      </w:tblGrid>
      <w:tr>
        <w:trPr>
          <w:tblHeader/>
        </w:trPr>
        <w:tc>
          <w:tcPr>
            <w:tcW w:type="dxa" w:w="3600"/>
            <w:tcBorders>
              <w:top w:val="single" w:color="1E3A5F" w:sz="1"/>
              <w:left w:val="single" w:color="1E3A5F" w:sz="1"/>
              <w:bottom w:val="single" w:color="1E3A5F" w:sz="1"/>
              <w:right w:val="single" w:color="1E3A5F" w:sz="1"/>
            </w:tcBorders>
            <w:shd w:fill="1E3A5F" w:val="clear"/>
            <w:tcMar>
              <w:top w:type="dxa" w:w="70"/>
              <w:left w:type="dxa" w:w="90"/>
              <w:bottom w:type="dxa" w:w="70"/>
              <w:right w:type="dxa" w:w="90"/>
            </w:tcMar>
          </w:tcPr>
          <w:p>
            <w:r>
              <w:rPr>
                <w:b/>
                <w:bCs/>
                <w:color w:val="FFFFFF"/>
                <w:sz w:val="19"/>
                <w:szCs w:val="19"/>
              </w:rPr>
              <w:t xml:space="preserve">Market</w:t>
            </w:r>
          </w:p>
        </w:tc>
        <w:tc>
          <w:tcPr>
            <w:tcW w:type="dxa" w:w="1600"/>
            <w:tcBorders>
              <w:top w:val="single" w:color="1E3A5F" w:sz="1"/>
              <w:left w:val="single" w:color="1E3A5F" w:sz="1"/>
              <w:bottom w:val="single" w:color="1E3A5F" w:sz="1"/>
              <w:right w:val="single" w:color="1E3A5F" w:sz="1"/>
            </w:tcBorders>
            <w:shd w:fill="1E3A5F" w:val="clear"/>
            <w:tcMar>
              <w:top w:type="dxa" w:w="70"/>
              <w:left w:type="dxa" w:w="90"/>
              <w:bottom w:type="dxa" w:w="70"/>
              <w:right w:type="dxa" w:w="90"/>
            </w:tcMar>
          </w:tcPr>
          <w:p>
            <w:r>
              <w:rPr>
                <w:b/>
                <w:bCs/>
                <w:color w:val="FFFFFF"/>
                <w:sz w:val="19"/>
                <w:szCs w:val="19"/>
              </w:rPr>
              <w:t xml:space="preserve">YES Price</w:t>
            </w:r>
          </w:p>
        </w:tc>
        <w:tc>
          <w:tcPr>
            <w:tcW w:type="dxa" w:w="1600"/>
            <w:tcBorders>
              <w:top w:val="single" w:color="1E3A5F" w:sz="1"/>
              <w:left w:val="single" w:color="1E3A5F" w:sz="1"/>
              <w:bottom w:val="single" w:color="1E3A5F" w:sz="1"/>
              <w:right w:val="single" w:color="1E3A5F" w:sz="1"/>
            </w:tcBorders>
            <w:shd w:fill="1E3A5F" w:val="clear"/>
            <w:tcMar>
              <w:top w:type="dxa" w:w="70"/>
              <w:left w:type="dxa" w:w="90"/>
              <w:bottom w:type="dxa" w:w="70"/>
              <w:right w:type="dxa" w:w="90"/>
            </w:tcMar>
          </w:tcPr>
          <w:p>
            <w:r>
              <w:rPr>
                <w:b/>
                <w:bCs/>
                <w:color w:val="FFFFFF"/>
                <w:sz w:val="19"/>
                <w:szCs w:val="19"/>
              </w:rPr>
              <w:t xml:space="preserve">NO Price</w:t>
            </w:r>
          </w:p>
        </w:tc>
        <w:tc>
          <w:tcPr>
            <w:tcW w:type="dxa" w:w="2560"/>
            <w:tcBorders>
              <w:top w:val="single" w:color="1E3A5F" w:sz="1"/>
              <w:left w:val="single" w:color="1E3A5F" w:sz="1"/>
              <w:bottom w:val="single" w:color="1E3A5F" w:sz="1"/>
              <w:right w:val="single" w:color="1E3A5F" w:sz="1"/>
            </w:tcBorders>
            <w:shd w:fill="1E3A5F" w:val="clear"/>
            <w:tcMar>
              <w:top w:type="dxa" w:w="70"/>
              <w:left w:type="dxa" w:w="90"/>
              <w:bottom w:type="dxa" w:w="70"/>
              <w:right w:type="dxa" w:w="90"/>
            </w:tcMar>
          </w:tcPr>
          <w:p>
            <w:r>
              <w:rPr>
                <w:b/>
                <w:bCs/>
                <w:color w:val="FFFFFF"/>
                <w:sz w:val="19"/>
                <w:szCs w:val="19"/>
              </w:rPr>
              <w:t xml:space="preserve">Sum</w:t>
            </w:r>
          </w:p>
        </w:tc>
      </w:tr>
      <w:tr>
        <w:tc>
          <w:tcPr>
            <w:tcW w:type="dxa" w:w="36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Will Candidate X win the presidency?</w:t>
            </w:r>
          </w:p>
        </w:tc>
        <w:tc>
          <w:tcPr>
            <w:tcW w:type="dxa" w:w="16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$0.72</w:t>
            </w:r>
          </w:p>
        </w:tc>
        <w:tc>
          <w:tcPr>
            <w:tcW w:type="dxa" w:w="16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$0.28</w:t>
            </w:r>
          </w:p>
        </w:tc>
        <w:tc>
          <w:tcPr>
            <w:tcW w:type="dxa" w:w="256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$1.00 ✓</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Will X's party win a majority in Congress?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$0.48</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$0.52</w:t>
            </w:r>
          </w:p>
        </w:tc>
        <w:tc>
          <w:tcPr>
            <w:tcW w:type="dxa" w:w="25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$1.00 ✓</w:t>
            </w:r>
          </w:p>
        </w:tc>
      </w:tr>
    </w:tbl>
    <w:p>
      <w:pPr>
        <w:spacing w:after="70" w:before="70"/>
      </w:pPr>
      <w:r>
        <w:t xml:space="preserve"/>
      </w:r>
    </w:p>
    <w:p>
      <w:pPr>
        <w:shd w:fill="F4F4F4" w:val="clear"/>
        <w:spacing w:after="0" w:before="0"/>
        <w:ind w:left="300"/>
      </w:pPr>
      <w:r>
        <w:rPr>
          <w:rFonts w:ascii="Courier New" w:cs="Courier New" w:eastAsia="Courier New" w:hAnsi="Courier New"/>
          <w:color w:val="1A1A1A"/>
          <w:sz w:val="18"/>
          <w:szCs w:val="18"/>
        </w:rPr>
        <w:t xml:space="preserve">Contradiction detected:</w:t>
      </w:r>
    </w:p>
    <w:p>
      <w:pPr>
        <w:shd w:fill="F4F4F4" w:val="clear"/>
        <w:spacing w:after="0" w:before="0"/>
        <w:ind w:left="300"/>
      </w:pPr>
      <w:r>
        <w:rPr>
          <w:rFonts w:ascii="Courier New" w:cs="Courier New" w:eastAsia="Courier New" w:hAnsi="Courier New"/>
          <w:color w:val="1A1A1A"/>
          <w:sz w:val="18"/>
          <w:szCs w:val="18"/>
        </w:rPr>
        <w:t xml:space="preserve">If X has a 72% probability of winning the presidency,</w:t>
      </w:r>
    </w:p>
    <w:p>
      <w:pPr>
        <w:shd w:fill="F4F4F4" w:val="clear"/>
        <w:spacing w:after="0" w:before="0"/>
        <w:ind w:left="300"/>
      </w:pPr>
      <w:r>
        <w:rPr>
          <w:rFonts w:ascii="Courier New" w:cs="Courier New" w:eastAsia="Courier New" w:hAnsi="Courier New"/>
          <w:color w:val="1A1A1A"/>
          <w:sz w:val="18"/>
          <w:szCs w:val="18"/>
        </w:rPr>
        <w:t xml:space="preserve">her party should have &gt;48% chance of winning Congress via electoral coattails.</w:t>
      </w:r>
    </w:p>
    <w:p>
      <w:pPr>
        <w:shd w:fill="F4F4F4" w:val="clear"/>
        <w:spacing w:after="0" w:before="0"/>
        <w:ind w:left="300"/>
      </w:pPr>
      <w:r>
        <w:rPr>
          <w:rFonts w:ascii="Courier New" w:cs="Courier New" w:eastAsia="Courier New" w:hAnsi="Courier New"/>
          <w:color w:val="1A1A1A"/>
          <w:sz w:val="18"/>
          <w:szCs w:val="18"/>
        </w:rPr>
        <w:t xml:space="preserve">─────────────────────────────────────────────────────────────────────────</w:t>
      </w:r>
    </w:p>
    <w:p>
      <w:pPr>
        <w:shd w:fill="F4F4F4" w:val="clear"/>
        <w:spacing w:after="0" w:before="0"/>
        <w:ind w:left="300"/>
      </w:pPr>
      <w:r>
        <w:rPr>
          <w:rFonts w:ascii="Courier New" w:cs="Courier New" w:eastAsia="Courier New" w:hAnsi="Courier New"/>
          <w:color w:val="1A1A1A"/>
          <w:sz w:val="18"/>
          <w:szCs w:val="18"/>
        </w:rPr>
        <w:t xml:space="preserve">The logical flaw: the Congress market is undervalued by ~15-20 points.</w:t>
      </w:r>
    </w:p>
    <w:p>
      <w:pPr>
        <w:shd w:fill="F4F4F4" w:val="clear"/>
        <w:spacing w:after="0" w:before="0"/>
        <w:ind w:left="300"/>
      </w:pPr>
      <w:r>
        <w:rPr>
          <w:rFonts w:ascii="Courier New" w:cs="Courier New" w:eastAsia="Courier New" w:hAnsi="Courier New"/>
          <w:color w:val="1A1A1A"/>
          <w:sz w:val="18"/>
          <w:szCs w:val="18"/>
        </w:rPr>
        <w:t xml:space="preserve"/>
      </w:r>
    </w:p>
    <w:p>
      <w:pPr>
        <w:shd w:fill="F4F4F4" w:val="clear"/>
        <w:spacing w:after="0" w:before="0"/>
        <w:ind w:left="300"/>
      </w:pPr>
      <w:r>
        <w:rPr>
          <w:rFonts w:ascii="Courier New" w:cs="Courier New" w:eastAsia="Courier New" w:hAnsi="Courier New"/>
          <w:color w:val="1A1A1A"/>
          <w:sz w:val="18"/>
          <w:szCs w:val="18"/>
        </w:rPr>
        <w:t xml:space="preserve">ARB-05 position:</w:t>
      </w:r>
    </w:p>
    <w:p>
      <w:pPr>
        <w:shd w:fill="F4F4F4" w:val="clear"/>
        <w:spacing w:after="0" w:before="0"/>
        <w:ind w:left="300"/>
      </w:pPr>
      <w:r>
        <w:rPr>
          <w:rFonts w:ascii="Courier New" w:cs="Courier New" w:eastAsia="Courier New" w:hAnsi="Courier New"/>
          <w:color w:val="1A1A1A"/>
          <w:sz w:val="18"/>
          <w:szCs w:val="18"/>
        </w:rPr>
        <w:t xml:space="preserve">  -&gt; Sell 'NO Congress majority' at $0.52 (bet that there WILL be a majority)</w:t>
      </w:r>
    </w:p>
    <w:p>
      <w:pPr>
        <w:shd w:fill="F4F4F4" w:val="clear"/>
        <w:spacing w:after="0" w:before="0"/>
        <w:ind w:left="300"/>
      </w:pPr>
      <w:r>
        <w:rPr>
          <w:rFonts w:ascii="Courier New" w:cs="Courier New" w:eastAsia="Courier New" w:hAnsi="Courier New"/>
          <w:color w:val="1A1A1A"/>
          <w:sz w:val="18"/>
          <w:szCs w:val="18"/>
        </w:rPr>
        <w:t xml:space="preserve">  -&gt; Buy 'YES X wins presidency' at $0.72 as a correlated hedge</w:t>
      </w:r>
    </w:p>
    <w:p>
      <w:pPr>
        <w:shd w:fill="F4F4F4" w:val="clear"/>
        <w:spacing w:after="0" w:before="0"/>
        <w:ind w:left="300"/>
      </w:pPr>
      <w:r>
        <w:rPr>
          <w:rFonts w:ascii="Courier New" w:cs="Courier New" w:eastAsia="Courier New" w:hAnsi="Courier New"/>
          <w:color w:val="1A1A1A"/>
          <w:sz w:val="18"/>
          <w:szCs w:val="18"/>
        </w:rPr>
        <w:t xml:space="preserve">Estimated return if the correlation corrects: $0.15-$0.20 per contract</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7A3A" w:sz="1"/>
              <w:left w:val="single" w:color="1A7A3A" w:sz="1"/>
              <w:bottom w:val="single" w:color="1A7A3A" w:sz="1"/>
              <w:right w:val="single" w:color="1A7A3A" w:sz="1"/>
            </w:tcBorders>
            <w:shd w:fill="1A7A3A" w:val="clear"/>
            <w:tcMar>
              <w:top w:type="dxa" w:w="70"/>
              <w:left w:type="dxa" w:w="130"/>
              <w:bottom w:type="dxa" w:w="70"/>
              <w:right w:type="dxa" w:w="130"/>
            </w:tcMar>
          </w:tcPr>
          <w:p>
            <w:pPr>
              <w:jc w:val="center"/>
            </w:pPr>
            <w:r>
              <w:rPr>
                <w:b/>
                <w:bCs/>
                <w:color w:val="FFFFFF"/>
                <w:sz w:val="20"/>
                <w:szCs w:val="20"/>
              </w:rPr>
              <w:t xml:space="preserve">Documented annual return</w:t>
            </w:r>
          </w:p>
        </w:tc>
        <w:tc>
          <w:tcPr>
            <w:tcW w:type="dxa" w:w="4680"/>
            <w:tcBorders>
              <w:top w:val="single" w:color="CC2200" w:sz="1"/>
              <w:left w:val="single" w:color="CC2200" w:sz="1"/>
              <w:bottom w:val="single" w:color="CC2200" w:sz="1"/>
              <w:right w:val="single" w:color="CC2200" w:sz="1"/>
            </w:tcBorders>
            <w:shd w:fill="CC2200" w:val="clear"/>
            <w:tcMar>
              <w:top w:type="dxa" w:w="70"/>
              <w:left w:type="dxa" w:w="130"/>
              <w:bottom w:type="dxa" w:w="70"/>
              <w:right w:type="dxa" w:w="130"/>
            </w:tcMar>
          </w:tcPr>
          <w:p>
            <w:pPr>
              <w:jc w:val="center"/>
            </w:pPr>
            <w:r>
              <w:rPr>
                <w:b/>
                <w:bCs/>
                <w:color w:val="FFFFFF"/>
                <w:sz w:val="20"/>
                <w:szCs w:val="20"/>
              </w:rPr>
              <w:t xml:space="preserve">Infrastructure cost</w:t>
            </w:r>
          </w:p>
        </w:tc>
      </w:tr>
      <w:tr>
        <w:tc>
          <w:tcPr>
            <w:tcW w:type="dxa" w:w="4680"/>
            <w:tcBorders>
              <w:top w:val="single" w:color="CCCCCC" w:sz="1"/>
              <w:left w:val="single" w:color="CCCCCC" w:sz="1"/>
              <w:bottom w:val="single" w:color="CCCCCC" w:sz="1"/>
              <w:right w:val="single" w:color="CCCCCC" w:sz="1"/>
            </w:tcBorders>
            <w:shd w:fill="EBF8EF" w:val="clear"/>
            <w:tcMar>
              <w:top w:type="dxa" w:w="60"/>
              <w:left w:type="dxa" w:w="130"/>
              <w:bottom w:type="dxa" w:w="60"/>
              <w:right w:type="dxa" w:w="130"/>
            </w:tcMar>
          </w:tcPr>
          <w:p>
            <w:r>
              <w:rPr>
                <w:sz w:val="19"/>
                <w:szCs w:val="19"/>
              </w:rPr>
              <w:t xml:space="preserve">~$95,000</w:t>
            </w:r>
          </w:p>
        </w:tc>
        <w:tc>
          <w:tcPr>
            <w:tcW w:type="dxa" w:w="4680"/>
            <w:tcBorders>
              <w:top w:val="single" w:color="CCCCCC" w:sz="1"/>
              <w:left w:val="single" w:color="CCCCCC" w:sz="1"/>
              <w:bottom w:val="single" w:color="CCCCCC" w:sz="1"/>
              <w:right w:val="single" w:color="CCCCCC" w:sz="1"/>
            </w:tcBorders>
            <w:shd w:fill="FFF0EE" w:val="clear"/>
            <w:tcMar>
              <w:top w:type="dxa" w:w="60"/>
              <w:left w:type="dxa" w:w="130"/>
              <w:bottom w:type="dxa" w:w="60"/>
              <w:right w:type="dxa" w:w="130"/>
            </w:tcMar>
          </w:tcPr>
          <w:p>
            <w:r>
              <w:rPr>
                <w:sz w:val="19"/>
                <w:szCs w:val="19"/>
              </w:rPr>
              <w:t xml:space="preserve">$30–80k</w:t>
            </w:r>
          </w:p>
        </w:tc>
      </w:tr>
      <w:tr>
        <w:tc>
          <w:tcPr>
            <w:tcW w:type="dxa" w:w="4680"/>
            <w:tcBorders>
              <w:top w:val="single" w:color="CCCCCC" w:sz="1"/>
              <w:left w:val="single" w:color="CCCCCC" w:sz="1"/>
              <w:bottom w:val="single" w:color="CCCCCC" w:sz="1"/>
              <w:right w:val="single" w:color="CCCCCC" w:sz="1"/>
            </w:tcBorders>
            <w:shd w:fill="FAFFF9" w:val="clear"/>
            <w:tcMar>
              <w:top w:type="dxa" w:w="60"/>
              <w:left w:type="dxa" w:w="130"/>
              <w:bottom w:type="dxa" w:w="60"/>
              <w:right w:type="dxa" w:w="130"/>
            </w:tcMar>
          </w:tcPr>
          <w:p>
            <w:r>
              <w:rPr>
                <w:sz w:val="19"/>
                <w:szCs w:val="19"/>
              </w:rPr>
              <w:t xml:space="preserve">On actively deployed capital with LLM solver.</w:t>
            </w:r>
          </w:p>
        </w:tc>
        <w:tc>
          <w:tcPr>
            <w:tcW w:type="dxa" w:w="4680"/>
            <w:tcBorders>
              <w:top w:val="single" w:color="CCCCCC" w:sz="1"/>
              <w:left w:val="single" w:color="CCCCCC" w:sz="1"/>
              <w:bottom w:val="single" w:color="CCCCCC" w:sz="1"/>
              <w:right w:val="single" w:color="CCCCCC" w:sz="1"/>
            </w:tcBorders>
            <w:shd w:fill="FFFEFE" w:val="clear"/>
            <w:tcMar>
              <w:top w:type="dxa" w:w="60"/>
              <w:left w:type="dxa" w:w="130"/>
              <w:bottom w:type="dxa" w:w="60"/>
              <w:right w:type="dxa" w:w="130"/>
            </w:tcMar>
          </w:tcPr>
          <w:p>
            <w:r>
              <w:rPr>
                <w:sz w:val="19"/>
                <w:szCs w:val="19"/>
              </w:rPr>
              <w:t xml:space="preserve">LLM calls, mathematical solvers,</w:t>
            </w:r>
          </w:p>
        </w:tc>
      </w:tr>
      <w:tr>
        <w:tc>
          <w:tcPr>
            <w:tcW w:type="dxa" w:w="4680"/>
            <w:tcBorders>
              <w:top w:val="single" w:color="CCCCCC" w:sz="1"/>
              <w:left w:val="single" w:color="CCCCCC" w:sz="1"/>
              <w:bottom w:val="single" w:color="CCCCCC" w:sz="1"/>
              <w:right w:val="single" w:color="CCCCCC" w:sz="1"/>
            </w:tcBorders>
            <w:shd w:fill="EBF8EF" w:val="clear"/>
            <w:tcMar>
              <w:top w:type="dxa" w:w="60"/>
              <w:left w:type="dxa" w:w="130"/>
              <w:bottom w:type="dxa" w:w="60"/>
              <w:right w:type="dxa" w:w="130"/>
            </w:tcMar>
          </w:tcPr>
          <w:p>
            <w:r>
              <w:rPr>
                <w:sz w:val="19"/>
                <w:szCs w:val="19"/>
              </w:rPr>
              <w:t xml:space="preserve">Modest return given infrastructure cost.</w:t>
            </w:r>
          </w:p>
        </w:tc>
        <w:tc>
          <w:tcPr>
            <w:tcW w:type="dxa" w:w="4680"/>
            <w:tcBorders>
              <w:top w:val="single" w:color="CCCCCC" w:sz="1"/>
              <w:left w:val="single" w:color="CCCCCC" w:sz="1"/>
              <w:bottom w:val="single" w:color="CCCCCC" w:sz="1"/>
              <w:right w:val="single" w:color="CCCCCC" w:sz="1"/>
            </w:tcBorders>
            <w:shd w:fill="FFF0EE" w:val="clear"/>
            <w:tcMar>
              <w:top w:type="dxa" w:w="60"/>
              <w:left w:type="dxa" w:w="130"/>
              <w:bottom w:type="dxa" w:w="60"/>
              <w:right w:type="dxa" w:w="130"/>
            </w:tcMar>
          </w:tcPr>
          <w:p>
            <w:r>
              <w:rPr>
                <w:sz w:val="19"/>
                <w:szCs w:val="19"/>
              </w:rPr>
              <w:t xml:space="preserve">low-latency servers.</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1"/>
              <w:left w:val="single" w:color="CC7700" w:sz="4"/>
              <w:bottom w:val="single" w:color="CC7700" w:sz="1"/>
              <w:right w:val="single" w:color="CC7700" w:sz="1"/>
            </w:tcBorders>
            <w:shd w:fill="FFF8EC" w:val="clear"/>
            <w:tcMar>
              <w:top w:type="dxa" w:w="110"/>
              <w:left w:type="dxa" w:w="170"/>
              <w:bottom w:type="dxa" w:w="110"/>
              <w:right w:type="dxa" w:w="170"/>
            </w:tcMar>
          </w:tcPr>
          <w:p>
            <w:r>
              <w:rPr>
                <w:b/>
                <w:bCs/>
                <w:color w:val="CC7700"/>
                <w:sz w:val="21"/>
                <w:szCs w:val="21"/>
              </w:rPr>
              <w:t xml:space="preserve">Warning ARB-05: </w:t>
            </w:r>
            <w:r>
              <w:rPr>
                <w:sz w:val="21"/>
                <w:szCs w:val="21"/>
              </w:rPr>
              <w:t xml:space="preserve">ARB-05 is not risk-free arbitrage in the strict sense. It depends on the assumed correlation between markets being real and correcting itself during the contract's lifetime. If the solver incorrectly maps the causal dependency, the position can generate losses. Only recommended for institutional operators with a minimum capital of $500,000 USD.</w:t>
            </w:r>
          </w:p>
        </w:tc>
      </w:tr>
    </w:tbl>
    <w:p>
      <w:pPr>
        <w:spacing w:after="70" w:before="70"/>
      </w:pPr>
      <w:r>
        <w:t xml:space="preserve"/>
      </w:r>
    </w:p>
    <w:p>
      <w:pPr>
        <w:pStyle w:val="Heading2"/>
        <w:spacing w:after="80" w:before="240"/>
      </w:pPr>
      <w:r>
        <w:rPr>
          <w:b/>
          <w:bCs/>
          <w:color w:val="2E75B6"/>
          <w:sz w:val="26"/>
          <w:szCs w:val="26"/>
        </w:rPr>
        <w:t xml:space="preserve">ARB-06: The Cross-Platform Currency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4"/>
              <w:bottom w:val="single" w:color="1E3A5F" w:sz="1"/>
              <w:right w:val="single" w:color="1E3A5F" w:sz="1"/>
            </w:tcBorders>
            <w:shd w:fill="EBF3FB" w:val="clear"/>
            <w:tcMar>
              <w:top w:type="dxa" w:w="110"/>
              <w:left w:type="dxa" w:w="170"/>
              <w:bottom w:type="dxa" w:w="110"/>
              <w:right w:type="dxa" w:w="170"/>
            </w:tcMar>
          </w:tcPr>
          <w:p>
            <w:r>
              <w:rPr>
                <w:b/>
                <w:bCs/>
                <w:color w:val="1E3A5F"/>
                <w:sz w:val="21"/>
                <w:szCs w:val="21"/>
              </w:rPr>
              <w:t xml:space="preserve">Strategy Profile: </w:t>
            </w:r>
            <w:r>
              <w:rPr>
                <w:sz w:val="21"/>
                <w:szCs w:val="21"/>
              </w:rPr>
              <w:t xml:space="preserve">MULTI-PLATFORM  ·  DIVERSIFIED — The most intuitive strategy for investors with experience in forex or crypto exchange arbitrage. It works when the same event quotes at different prices on different platforms: Polymarket (decentralised, in USDC/Polygon) vs. Kalshi (CFTC-regulated, in USD). When there is a differential, you buy where it is cheaper and sell where it is more expensive.</w:t>
            </w:r>
          </w:p>
        </w:tc>
      </w:tr>
    </w:tbl>
    <w:p>
      <w:pPr>
        <w:spacing w:after="70" w:before="70"/>
      </w:pPr>
      <w:r>
        <w:t xml:space="preserve"/>
      </w:r>
    </w:p>
    <w:p>
      <w:pPr>
        <w:pStyle w:val="Heading3"/>
        <w:spacing w:after="60" w:before="180"/>
      </w:pPr>
      <w:r>
        <w:rPr>
          <w:b/>
          <w:bCs/>
          <w:color w:val="2E75B6"/>
          <w:sz w:val="23"/>
          <w:szCs w:val="23"/>
        </w:rPr>
        <w:t xml:space="preserve">Numerical Example — ARB-06</w:t>
      </w:r>
    </w:p>
    <w:p>
      <w:pPr>
        <w:spacing w:after="60" w:before="60"/>
      </w:pPr>
      <w:r>
        <w:rPr>
          <w:sz w:val="21"/>
          <w:szCs w:val="21"/>
        </w:rPr>
        <w:t xml:space="preserve">Event: "Will the Republican Party win the U.S. Senate elections?"</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70"/>
              <w:left w:type="dxa" w:w="90"/>
              <w:bottom w:type="dxa" w:w="70"/>
              <w:right w:type="dxa" w:w="90"/>
            </w:tcMar>
          </w:tcPr>
          <w:p>
            <w:r>
              <w:rPr>
                <w:b/>
                <w:bCs/>
                <w:color w:val="FFFFFF"/>
                <w:sz w:val="19"/>
                <w:szCs w:val="19"/>
              </w:rPr>
              <w:t xml:space="preserve">Platform</w:t>
            </w:r>
          </w:p>
        </w:tc>
        <w:tc>
          <w:tcPr>
            <w:tcW w:type="dxa" w:w="1600"/>
            <w:tcBorders>
              <w:top w:val="single" w:color="1E3A5F" w:sz="1"/>
              <w:left w:val="single" w:color="1E3A5F" w:sz="1"/>
              <w:bottom w:val="single" w:color="1E3A5F" w:sz="1"/>
              <w:right w:val="single" w:color="1E3A5F" w:sz="1"/>
            </w:tcBorders>
            <w:shd w:fill="1E3A5F" w:val="clear"/>
            <w:tcMar>
              <w:top w:type="dxa" w:w="70"/>
              <w:left w:type="dxa" w:w="90"/>
              <w:bottom w:type="dxa" w:w="70"/>
              <w:right w:type="dxa" w:w="90"/>
            </w:tcMar>
          </w:tcPr>
          <w:p>
            <w:r>
              <w:rPr>
                <w:b/>
                <w:bCs/>
                <w:color w:val="FFFFFF"/>
                <w:sz w:val="19"/>
                <w:szCs w:val="19"/>
              </w:rPr>
              <w:t xml:space="preserve">YES Price</w:t>
            </w:r>
          </w:p>
        </w:tc>
        <w:tc>
          <w:tcPr>
            <w:tcW w:type="dxa" w:w="1600"/>
            <w:tcBorders>
              <w:top w:val="single" w:color="1E3A5F" w:sz="1"/>
              <w:left w:val="single" w:color="1E3A5F" w:sz="1"/>
              <w:bottom w:val="single" w:color="1E3A5F" w:sz="1"/>
              <w:right w:val="single" w:color="1E3A5F" w:sz="1"/>
            </w:tcBorders>
            <w:shd w:fill="1E3A5F" w:val="clear"/>
            <w:tcMar>
              <w:top w:type="dxa" w:w="70"/>
              <w:left w:type="dxa" w:w="90"/>
              <w:bottom w:type="dxa" w:w="70"/>
              <w:right w:type="dxa" w:w="90"/>
            </w:tcMar>
          </w:tcPr>
          <w:p>
            <w:r>
              <w:rPr>
                <w:b/>
                <w:bCs/>
                <w:color w:val="FFFFFF"/>
                <w:sz w:val="19"/>
                <w:szCs w:val="19"/>
              </w:rPr>
              <w:t xml:space="preserve">NO Price</w:t>
            </w:r>
          </w:p>
        </w:tc>
        <w:tc>
          <w:tcPr>
            <w:tcW w:type="dxa" w:w="3960"/>
            <w:tcBorders>
              <w:top w:val="single" w:color="1E3A5F" w:sz="1"/>
              <w:left w:val="single" w:color="1E3A5F" w:sz="1"/>
              <w:bottom w:val="single" w:color="1E3A5F" w:sz="1"/>
              <w:right w:val="single" w:color="1E3A5F" w:sz="1"/>
            </w:tcBorders>
            <w:shd w:fill="1E3A5F" w:val="clear"/>
            <w:tcMar>
              <w:top w:type="dxa" w:w="70"/>
              <w:left w:type="dxa" w:w="90"/>
              <w:bottom w:type="dxa" w:w="70"/>
              <w:right w:type="dxa" w:w="90"/>
            </w:tcMar>
          </w:tcPr>
          <w:p>
            <w:r>
              <w:rPr>
                <w:b/>
                <w:bCs/>
                <w:color w:val="FFFFFF"/>
                <w:sz w:val="19"/>
                <w:szCs w:val="19"/>
              </w:rPr>
              <w:t xml:space="preserve">Type</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Polymarket</w:t>
            </w:r>
          </w:p>
        </w:tc>
        <w:tc>
          <w:tcPr>
            <w:tcW w:type="dxa" w:w="16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$0.62</w:t>
            </w:r>
          </w:p>
        </w:tc>
        <w:tc>
          <w:tcPr>
            <w:tcW w:type="dxa" w:w="16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$0.38</w:t>
            </w:r>
          </w:p>
        </w:tc>
        <w:tc>
          <w:tcPr>
            <w:tcW w:type="dxa" w:w="396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USDC / Polygon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Kalshi</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$0.68</w:t>
            </w:r>
          </w:p>
        </w:tc>
        <w:tc>
          <w:tcPr>
            <w:tcW w:type="dxa" w:w="16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$0.32</w:t>
            </w:r>
          </w:p>
        </w:tc>
        <w:tc>
          <w:tcPr>
            <w:tcW w:type="dxa" w:w="39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USD / Regulated</w:t>
            </w:r>
          </w:p>
        </w:tc>
      </w:tr>
      <w:tr>
        <w:tc>
          <w:tcPr>
            <w:tcW w:type="dxa" w:w="22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Spread</w:t>
            </w:r>
          </w:p>
        </w:tc>
        <w:tc>
          <w:tcPr>
            <w:tcW w:type="dxa" w:w="16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$0.06</w:t>
            </w:r>
          </w:p>
        </w:tc>
        <w:tc>
          <w:tcPr>
            <w:tcW w:type="dxa" w:w="16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$0.06</w:t>
            </w:r>
          </w:p>
        </w:tc>
        <w:tc>
          <w:tcPr>
            <w:tcW w:type="dxa" w:w="396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 ARB Opportunity</w:t>
            </w:r>
          </w:p>
        </w:tc>
      </w:tr>
    </w:tbl>
    <w:p>
      <w:pPr>
        <w:spacing w:after="70" w:before="70"/>
      </w:pPr>
      <w:r>
        <w:t xml:space="preserve"/>
      </w:r>
    </w:p>
    <w:p>
      <w:pPr>
        <w:shd w:fill="F4F4F4" w:val="clear"/>
        <w:spacing w:after="0" w:before="0"/>
        <w:ind w:left="300"/>
      </w:pPr>
      <w:r>
        <w:rPr>
          <w:rFonts w:ascii="Courier New" w:cs="Courier New" w:eastAsia="Courier New" w:hAnsi="Courier New"/>
          <w:color w:val="1A1A1A"/>
          <w:sz w:val="18"/>
          <w:szCs w:val="18"/>
        </w:rPr>
        <w:t xml:space="preserve">Strategy:</w:t>
      </w:r>
    </w:p>
    <w:p>
      <w:pPr>
        <w:shd w:fill="F4F4F4" w:val="clear"/>
        <w:spacing w:after="0" w:before="0"/>
        <w:ind w:left="300"/>
      </w:pPr>
      <w:r>
        <w:rPr>
          <w:rFonts w:ascii="Courier New" w:cs="Courier New" w:eastAsia="Courier New" w:hAnsi="Courier New"/>
          <w:color w:val="1A1A1A"/>
          <w:sz w:val="18"/>
          <w:szCs w:val="18"/>
        </w:rPr>
        <w:t xml:space="preserve">  -&gt; BUY YES on Polymarket at $0.62  (where it is cheaper)</w:t>
      </w:r>
    </w:p>
    <w:p>
      <w:pPr>
        <w:shd w:fill="F4F4F4" w:val="clear"/>
        <w:spacing w:after="0" w:before="0"/>
        <w:ind w:left="300"/>
      </w:pPr>
      <w:r>
        <w:rPr>
          <w:rFonts w:ascii="Courier New" w:cs="Courier New" w:eastAsia="Courier New" w:hAnsi="Courier New"/>
          <w:color w:val="1A1A1A"/>
          <w:sz w:val="18"/>
          <w:szCs w:val="18"/>
        </w:rPr>
        <w:t xml:space="preserve">  -&gt; SELL YES on Kalshi at $0.68     (where it is more expensive)</w:t>
      </w:r>
    </w:p>
    <w:p>
      <w:pPr>
        <w:shd w:fill="F4F4F4" w:val="clear"/>
        <w:spacing w:after="0" w:before="0"/>
        <w:ind w:left="300"/>
      </w:pPr>
      <w:r>
        <w:rPr>
          <w:rFonts w:ascii="Courier New" w:cs="Courier New" w:eastAsia="Courier New" w:hAnsi="Courier New"/>
          <w:color w:val="1A1A1A"/>
          <w:sz w:val="18"/>
          <w:szCs w:val="18"/>
        </w:rPr>
        <w:t xml:space="preserve">─────────────────────────────────────────────────────────────────</w:t>
      </w:r>
    </w:p>
    <w:p>
      <w:pPr>
        <w:shd w:fill="F4F4F4" w:val="clear"/>
        <w:spacing w:after="0" w:before="0"/>
        <w:ind w:left="300"/>
      </w:pPr>
      <w:r>
        <w:rPr>
          <w:rFonts w:ascii="Courier New" w:cs="Courier New" w:eastAsia="Courier New" w:hAnsi="Courier New"/>
          <w:color w:val="1A1A1A"/>
          <w:sz w:val="18"/>
          <w:szCs w:val="18"/>
        </w:rPr>
        <w:t xml:space="preserve">Gross differential per contract:  $0.68 - $0.62       = $0.06</w:t>
      </w:r>
    </w:p>
    <w:p>
      <w:pPr>
        <w:shd w:fill="F4F4F4" w:val="clear"/>
        <w:spacing w:after="0" w:before="0"/>
        <w:ind w:left="300"/>
      </w:pPr>
      <w:r>
        <w:rPr>
          <w:rFonts w:ascii="Courier New" w:cs="Courier New" w:eastAsia="Courier New" w:hAnsi="Courier New"/>
          <w:color w:val="1A1A1A"/>
          <w:sz w:val="18"/>
          <w:szCs w:val="18"/>
        </w:rPr>
        <w:t xml:space="preserve">Polymarket fee (0.5%):                                  -$0.0031</w:t>
      </w:r>
    </w:p>
    <w:p>
      <w:pPr>
        <w:shd w:fill="F4F4F4" w:val="clear"/>
        <w:spacing w:after="0" w:before="0"/>
        <w:ind w:left="300"/>
      </w:pPr>
      <w:r>
        <w:rPr>
          <w:rFonts w:ascii="Courier New" w:cs="Courier New" w:eastAsia="Courier New" w:hAnsi="Courier New"/>
          <w:color w:val="1A1A1A"/>
          <w:sz w:val="18"/>
          <w:szCs w:val="18"/>
        </w:rPr>
        <w:t xml:space="preserve">Kalshi fee (variable):                                  -$0.0020</w:t>
      </w:r>
    </w:p>
    <w:p>
      <w:pPr>
        <w:shd w:fill="F4F4F4" w:val="clear"/>
        <w:spacing w:after="0" w:before="0"/>
        <w:ind w:left="300"/>
      </w:pPr>
      <w:r>
        <w:rPr>
          <w:rFonts w:ascii="Courier New" w:cs="Courier New" w:eastAsia="Courier New" w:hAnsi="Courier New"/>
          <w:color w:val="1A1A1A"/>
          <w:sz w:val="18"/>
          <w:szCs w:val="18"/>
        </w:rPr>
        <w:t xml:space="preserve">Polygon gas fee (estimated):                            -$0.0015</w:t>
      </w:r>
    </w:p>
    <w:p>
      <w:pPr>
        <w:shd w:fill="F4F4F4" w:val="clear"/>
        <w:spacing w:after="0" w:before="0"/>
        <w:ind w:left="300"/>
      </w:pPr>
      <w:r>
        <w:rPr>
          <w:rFonts w:ascii="Courier New" w:cs="Courier New" w:eastAsia="Courier New" w:hAnsi="Courier New"/>
          <w:color w:val="1A1A1A"/>
          <w:sz w:val="18"/>
          <w:szCs w:val="18"/>
        </w:rPr>
        <w:t xml:space="preserve">USDC transfer cost:                                     -$0.0050</w:t>
      </w:r>
    </w:p>
    <w:p>
      <w:pPr>
        <w:shd w:fill="F4F4F4" w:val="clear"/>
        <w:spacing w:after="0" w:before="0"/>
        <w:ind w:left="300"/>
      </w:pPr>
      <w:r>
        <w:rPr>
          <w:rFonts w:ascii="Courier New" w:cs="Courier New" w:eastAsia="Courier New" w:hAnsi="Courier New"/>
          <w:color w:val="1A1A1A"/>
          <w:sz w:val="18"/>
          <w:szCs w:val="18"/>
        </w:rPr>
        <w:t xml:space="preserve">─────────────────────────────────────────────────────────────────</w:t>
      </w:r>
    </w:p>
    <w:p>
      <w:pPr>
        <w:shd w:fill="F4F4F4" w:val="clear"/>
        <w:spacing w:after="0" w:before="0"/>
        <w:ind w:left="300"/>
      </w:pPr>
      <w:r>
        <w:rPr>
          <w:rFonts w:ascii="Courier New" w:cs="Courier New" w:eastAsia="Courier New" w:hAnsi="Courier New"/>
          <w:color w:val="1A1A1A"/>
          <w:sz w:val="18"/>
          <w:szCs w:val="18"/>
        </w:rPr>
        <w:t xml:space="preserve">Net profit:                        $0.0484 per contract</w:t>
      </w:r>
    </w:p>
    <w:p>
      <w:pPr>
        <w:shd w:fill="F4F4F4" w:val="clear"/>
        <w:spacing w:after="0" w:before="0"/>
        <w:ind w:left="300"/>
      </w:pPr>
      <w:r>
        <w:rPr>
          <w:rFonts w:ascii="Courier New" w:cs="Courier New" w:eastAsia="Courier New" w:hAnsi="Courier New"/>
          <w:color w:val="1A1A1A"/>
          <w:sz w:val="18"/>
          <w:szCs w:val="18"/>
        </w:rPr>
        <w:t xml:space="preserve">ROI:                               $0.0484 / $0.62 = 7.8%</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7A3A" w:sz="1"/>
              <w:left w:val="single" w:color="1A7A3A" w:sz="1"/>
              <w:bottom w:val="single" w:color="1A7A3A" w:sz="1"/>
              <w:right w:val="single" w:color="1A7A3A" w:sz="1"/>
            </w:tcBorders>
            <w:shd w:fill="1A7A3A" w:val="clear"/>
            <w:tcMar>
              <w:top w:type="dxa" w:w="70"/>
              <w:left w:type="dxa" w:w="130"/>
              <w:bottom w:type="dxa" w:w="70"/>
              <w:right w:type="dxa" w:w="130"/>
            </w:tcMar>
          </w:tcPr>
          <w:p>
            <w:pPr>
              <w:jc w:val="center"/>
            </w:pPr>
            <w:r>
              <w:rPr>
                <w:b/>
                <w:bCs/>
                <w:color w:val="FFFFFF"/>
                <w:sz w:val="20"/>
                <w:szCs w:val="20"/>
              </w:rPr>
              <w:t xml:space="preserve">Gross spread captured</w:t>
            </w:r>
          </w:p>
        </w:tc>
        <w:tc>
          <w:tcPr>
            <w:tcW w:type="dxa" w:w="4680"/>
            <w:tcBorders>
              <w:top w:val="single" w:color="CC2200" w:sz="1"/>
              <w:left w:val="single" w:color="CC2200" w:sz="1"/>
              <w:bottom w:val="single" w:color="CC2200" w:sz="1"/>
              <w:right w:val="single" w:color="CC2200" w:sz="1"/>
            </w:tcBorders>
            <w:shd w:fill="CC2200" w:val="clear"/>
            <w:tcMar>
              <w:top w:type="dxa" w:w="70"/>
              <w:left w:type="dxa" w:w="130"/>
              <w:bottom w:type="dxa" w:w="70"/>
              <w:right w:type="dxa" w:w="130"/>
            </w:tcMar>
          </w:tcPr>
          <w:p>
            <w:pPr>
              <w:jc w:val="center"/>
            </w:pPr>
            <w:r>
              <w:rPr>
                <w:b/>
                <w:bCs/>
                <w:color w:val="FFFFFF"/>
                <w:sz w:val="20"/>
                <w:szCs w:val="20"/>
              </w:rPr>
              <w:t xml:space="preserve">Total friction (4 cost types)</w:t>
            </w:r>
          </w:p>
        </w:tc>
      </w:tr>
      <w:tr>
        <w:tc>
          <w:tcPr>
            <w:tcW w:type="dxa" w:w="4680"/>
            <w:tcBorders>
              <w:top w:val="single" w:color="CCCCCC" w:sz="1"/>
              <w:left w:val="single" w:color="CCCCCC" w:sz="1"/>
              <w:bottom w:val="single" w:color="CCCCCC" w:sz="1"/>
              <w:right w:val="single" w:color="CCCCCC" w:sz="1"/>
            </w:tcBorders>
            <w:shd w:fill="EBF8EF" w:val="clear"/>
            <w:tcMar>
              <w:top w:type="dxa" w:w="60"/>
              <w:left w:type="dxa" w:w="130"/>
              <w:bottom w:type="dxa" w:w="60"/>
              <w:right w:type="dxa" w:w="130"/>
            </w:tcMar>
          </w:tcPr>
          <w:p>
            <w:r>
              <w:rPr>
                <w:sz w:val="19"/>
                <w:szCs w:val="19"/>
              </w:rPr>
              <w:t xml:space="preserve">6 cents per contract</w:t>
            </w:r>
          </w:p>
        </w:tc>
        <w:tc>
          <w:tcPr>
            <w:tcW w:type="dxa" w:w="4680"/>
            <w:tcBorders>
              <w:top w:val="single" w:color="CCCCCC" w:sz="1"/>
              <w:left w:val="single" w:color="CCCCCC" w:sz="1"/>
              <w:bottom w:val="single" w:color="CCCCCC" w:sz="1"/>
              <w:right w:val="single" w:color="CCCCCC" w:sz="1"/>
            </w:tcBorders>
            <w:shd w:fill="FFF0EE" w:val="clear"/>
            <w:tcMar>
              <w:top w:type="dxa" w:w="60"/>
              <w:left w:type="dxa" w:w="130"/>
              <w:bottom w:type="dxa" w:w="60"/>
              <w:right w:type="dxa" w:w="130"/>
            </w:tcMar>
          </w:tcPr>
          <w:p>
            <w:r>
              <w:rPr>
                <w:sz w:val="19"/>
                <w:szCs w:val="19"/>
              </w:rPr>
              <w:t xml:space="preserve">−$0.0116 per contract</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1"/>
              <w:left w:val="single" w:color="1A7A3A" w:sz="4"/>
              <w:bottom w:val="single" w:color="1A7A3A" w:sz="1"/>
              <w:right w:val="single" w:color="1A7A3A" w:sz="1"/>
            </w:tcBorders>
            <w:shd w:fill="EBF8EF" w:val="clear"/>
            <w:tcMar>
              <w:top w:type="dxa" w:w="110"/>
              <w:left w:type="dxa" w:w="170"/>
              <w:bottom w:type="dxa" w:w="110"/>
              <w:right w:type="dxa" w:w="170"/>
            </w:tcMar>
          </w:tcPr>
          <w:p>
            <w:r>
              <w:rPr>
                <w:b/>
                <w:bCs/>
                <w:color w:val="1A7A3A"/>
                <w:sz w:val="21"/>
                <w:szCs w:val="21"/>
              </w:rPr>
              <w:t xml:space="preserve">Net ROI after all friction: </w:t>
            </w:r>
            <w:r>
              <w:rPr>
                <w:sz w:val="21"/>
                <w:szCs w:val="21"/>
              </w:rPr>
              <w:t xml:space="preserve">+7.8%</w:t>
            </w:r>
          </w:p>
        </w:tc>
      </w:tr>
    </w:tbl>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2200" w:sz="1"/>
              <w:left w:val="single" w:color="CC2200" w:sz="4"/>
              <w:bottom w:val="single" w:color="CC2200" w:sz="1"/>
              <w:right w:val="single" w:color="CC2200" w:sz="1"/>
            </w:tcBorders>
            <w:shd w:fill="FFF0EE" w:val="clear"/>
            <w:tcMar>
              <w:top w:type="dxa" w:w="110"/>
              <w:left w:type="dxa" w:w="170"/>
              <w:bottom w:type="dxa" w:w="110"/>
              <w:right w:type="dxa" w:w="170"/>
            </w:tcMar>
          </w:tcPr>
          <w:p>
            <w:r>
              <w:rPr>
                <w:b/>
                <w:bCs/>
                <w:color w:val="CC2200"/>
                <w:sz w:val="21"/>
                <w:szCs w:val="21"/>
              </w:rPr>
              <w:t xml:space="preserve">Critical Risk ARB-06: </w:t>
            </w:r>
            <w:r>
              <w:rPr>
                <w:sz w:val="21"/>
                <w:szCs w:val="21"/>
              </w:rPr>
              <w:t xml:space="preserve">Polymarket withdrawals (USDC → Polygon → bank) can take 24–72 hours. If the market resolves before you complete the funding cycle, you may be left with an uncovered position. Time friction is as important as cost friction.</w:t>
            </w:r>
          </w:p>
        </w:tc>
      </w:tr>
    </w:tbl>
    <w:p>
      <w:pPr>
        <w:spacing w:after="70" w:before="70"/>
      </w:pPr>
      <w:r>
        <w:t xml:space="preserve"/>
      </w:r>
    </w:p>
    <w:p>
      <w:pPr>
        <w:pBdr>
          <w:bottom w:val="single" w:color="2E75B6" w:sz="4" w:space="1"/>
        </w:pBdr>
        <w:spacing w:after="140" w:before="140"/>
      </w:pPr>
      <w:r>
        <w:t xml:space="preserve"/>
      </w:r>
    </w:p>
    <w:p>
      <w:pPr>
        <w:pStyle w:val="Heading1"/>
        <w:spacing w:after="130" w:before="380"/>
      </w:pPr>
      <w:r>
        <w:rPr>
          <w:b/>
          <w:bCs/>
          <w:color w:val="1E3A5F"/>
          <w:sz w:val="32"/>
          <w:szCs w:val="32"/>
        </w:rPr>
        <w:t xml:space="preserve">Section III — Decision Table for the Investor</w:t>
      </w:r>
    </w:p>
    <w:p>
      <w:pPr>
        <w:spacing w:after="60" w:before="60"/>
      </w:pPr>
      <w:r>
        <w:rPr>
          <w:sz w:val="21"/>
          <w:szCs w:val="21"/>
        </w:rPr>
        <w:t xml:space="preserve">Before choosing a strategy, the investor must assess themselves: available capital, access to execution technology, and tolerance for operational complexity.</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1400"/>
        <w:gridCol w:w="1000"/>
        <w:gridCol w:w="2960"/>
      </w:tblGrid>
      <w:tr>
        <w:trPr>
          <w:tblHeader/>
        </w:trPr>
        <w:tc>
          <w:tcPr>
            <w:tcW w:type="dxa" w:w="1400"/>
            <w:tcBorders>
              <w:top w:val="single" w:color="1E3A5F" w:sz="1"/>
              <w:left w:val="single" w:color="1E3A5F" w:sz="1"/>
              <w:bottom w:val="single" w:color="1E3A5F" w:sz="1"/>
              <w:right w:val="single" w:color="1E3A5F" w:sz="1"/>
            </w:tcBorders>
            <w:shd w:fill="1E3A5F" w:val="clear"/>
            <w:tcMar>
              <w:top w:type="dxa" w:w="70"/>
              <w:left w:type="dxa" w:w="90"/>
              <w:bottom w:type="dxa" w:w="70"/>
              <w:right w:type="dxa" w:w="90"/>
            </w:tcMar>
          </w:tcPr>
          <w:p>
            <w:r>
              <w:rPr>
                <w:b/>
                <w:bCs/>
                <w:color w:val="FFFFFF"/>
                <w:sz w:val="19"/>
                <w:szCs w:val="19"/>
              </w:rPr>
              <w:t xml:space="preserve">Strategy</w:t>
            </w:r>
          </w:p>
        </w:tc>
        <w:tc>
          <w:tcPr>
            <w:tcW w:type="dxa" w:w="2200"/>
            <w:tcBorders>
              <w:top w:val="single" w:color="1E3A5F" w:sz="1"/>
              <w:left w:val="single" w:color="1E3A5F" w:sz="1"/>
              <w:bottom w:val="single" w:color="1E3A5F" w:sz="1"/>
              <w:right w:val="single" w:color="1E3A5F" w:sz="1"/>
            </w:tcBorders>
            <w:shd w:fill="1E3A5F" w:val="clear"/>
            <w:tcMar>
              <w:top w:type="dxa" w:w="70"/>
              <w:left w:type="dxa" w:w="90"/>
              <w:bottom w:type="dxa" w:w="70"/>
              <w:right w:type="dxa" w:w="90"/>
            </w:tcMar>
          </w:tcPr>
          <w:p>
            <w:r>
              <w:rPr>
                <w:b/>
                <w:bCs/>
                <w:color w:val="FFFFFF"/>
                <w:sz w:val="19"/>
                <w:szCs w:val="19"/>
              </w:rPr>
              <w:t xml:space="preserve">Profile</w:t>
            </w:r>
          </w:p>
        </w:tc>
        <w:tc>
          <w:tcPr>
            <w:tcW w:type="dxa" w:w="1400"/>
            <w:tcBorders>
              <w:top w:val="single" w:color="1E3A5F" w:sz="1"/>
              <w:left w:val="single" w:color="1E3A5F" w:sz="1"/>
              <w:bottom w:val="single" w:color="1E3A5F" w:sz="1"/>
              <w:right w:val="single" w:color="1E3A5F" w:sz="1"/>
            </w:tcBorders>
            <w:shd w:fill="1E3A5F" w:val="clear"/>
            <w:tcMar>
              <w:top w:type="dxa" w:w="70"/>
              <w:left w:type="dxa" w:w="90"/>
              <w:bottom w:type="dxa" w:w="70"/>
              <w:right w:type="dxa" w:w="90"/>
            </w:tcMar>
          </w:tcPr>
          <w:p>
            <w:r>
              <w:rPr>
                <w:b/>
                <w:bCs/>
                <w:color w:val="FFFFFF"/>
                <w:sz w:val="19"/>
                <w:szCs w:val="19"/>
              </w:rPr>
              <w:t xml:space="preserve">Min. Capital</w:t>
            </w:r>
          </w:p>
        </w:tc>
        <w:tc>
          <w:tcPr>
            <w:tcW w:type="dxa" w:w="1400"/>
            <w:tcBorders>
              <w:top w:val="single" w:color="1E3A5F" w:sz="1"/>
              <w:left w:val="single" w:color="1E3A5F" w:sz="1"/>
              <w:bottom w:val="single" w:color="1E3A5F" w:sz="1"/>
              <w:right w:val="single" w:color="1E3A5F" w:sz="1"/>
            </w:tcBorders>
            <w:shd w:fill="1E3A5F" w:val="clear"/>
            <w:tcMar>
              <w:top w:type="dxa" w:w="70"/>
              <w:left w:type="dxa" w:w="90"/>
              <w:bottom w:type="dxa" w:w="70"/>
              <w:right w:type="dxa" w:w="90"/>
            </w:tcMar>
          </w:tcPr>
          <w:p>
            <w:r>
              <w:rPr>
                <w:b/>
                <w:bCs/>
                <w:color w:val="FFFFFF"/>
                <w:sz w:val="19"/>
                <w:szCs w:val="19"/>
              </w:rPr>
              <w:t xml:space="preserve">Typical ROI</w:t>
            </w:r>
          </w:p>
        </w:tc>
        <w:tc>
          <w:tcPr>
            <w:tcW w:type="dxa" w:w="1000"/>
            <w:tcBorders>
              <w:top w:val="single" w:color="1E3A5F" w:sz="1"/>
              <w:left w:val="single" w:color="1E3A5F" w:sz="1"/>
              <w:bottom w:val="single" w:color="1E3A5F" w:sz="1"/>
              <w:right w:val="single" w:color="1E3A5F" w:sz="1"/>
            </w:tcBorders>
            <w:shd w:fill="1E3A5F" w:val="clear"/>
            <w:tcMar>
              <w:top w:type="dxa" w:w="70"/>
              <w:left w:type="dxa" w:w="90"/>
              <w:bottom w:type="dxa" w:w="70"/>
              <w:right w:type="dxa" w:w="90"/>
            </w:tcMar>
          </w:tcPr>
          <w:p>
            <w:r>
              <w:rPr>
                <w:b/>
                <w:bCs/>
                <w:color w:val="FFFFFF"/>
                <w:sz w:val="19"/>
                <w:szCs w:val="19"/>
              </w:rPr>
              <w:t xml:space="preserve">Ease</w:t>
            </w:r>
          </w:p>
        </w:tc>
        <w:tc>
          <w:tcPr>
            <w:tcW w:type="dxa" w:w="2960"/>
            <w:tcBorders>
              <w:top w:val="single" w:color="1E3A5F" w:sz="1"/>
              <w:left w:val="single" w:color="1E3A5F" w:sz="1"/>
              <w:bottom w:val="single" w:color="1E3A5F" w:sz="1"/>
              <w:right w:val="single" w:color="1E3A5F" w:sz="1"/>
            </w:tcBorders>
            <w:shd w:fill="1E3A5F" w:val="clear"/>
            <w:tcMar>
              <w:top w:type="dxa" w:w="70"/>
              <w:left w:type="dxa" w:w="90"/>
              <w:bottom w:type="dxa" w:w="70"/>
              <w:right w:type="dxa" w:w="90"/>
            </w:tcMar>
          </w:tcPr>
          <w:p>
            <w:r>
              <w:rPr>
                <w:b/>
                <w:bCs/>
                <w:color w:val="FFFFFF"/>
                <w:sz w:val="19"/>
                <w:szCs w:val="19"/>
              </w:rPr>
              <w:t xml:space="preserve">Technical Risk</w:t>
            </w:r>
          </w:p>
        </w:tc>
      </w:tr>
      <w:tr>
        <w:tc>
          <w:tcPr>
            <w:tcW w:type="dxa" w:w="14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ARB-01/02</w:t>
            </w:r>
          </w:p>
        </w:tc>
        <w:tc>
          <w:tcPr>
            <w:tcW w:type="dxa" w:w="22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Beginner / Retail</w:t>
            </w:r>
          </w:p>
        </w:tc>
        <w:tc>
          <w:tcPr>
            <w:tcW w:type="dxa" w:w="14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$100</w:t>
            </w:r>
          </w:p>
        </w:tc>
        <w:tc>
          <w:tcPr>
            <w:tcW w:type="dxa" w:w="14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2–5%</w:t>
            </w:r>
          </w:p>
        </w:tc>
        <w:tc>
          <w:tcPr>
            <w:tcW w:type="dxa" w:w="10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w:t>
            </w:r>
          </w:p>
        </w:tc>
        <w:tc>
          <w:tcPr>
            <w:tcW w:type="dxa" w:w="296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Partial execution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ARB-03/04</w:t>
            </w:r>
          </w:p>
        </w:tc>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Intermediate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$1,000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5–15%</w:t>
            </w:r>
          </w:p>
        </w:tc>
        <w:tc>
          <w:tcPr>
            <w:tcW w:type="dxa" w:w="1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Illiquid weak link</w:t>
            </w:r>
          </w:p>
        </w:tc>
      </w:tr>
      <w:tr>
        <w:tc>
          <w:tcPr>
            <w:tcW w:type="dxa" w:w="14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ARB-05</w:t>
            </w:r>
          </w:p>
        </w:tc>
        <w:tc>
          <w:tcPr>
            <w:tcW w:type="dxa" w:w="22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Institutional</w:t>
            </w:r>
          </w:p>
        </w:tc>
        <w:tc>
          <w:tcPr>
            <w:tcW w:type="dxa" w:w="14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$500,000</w:t>
            </w:r>
          </w:p>
        </w:tc>
        <w:tc>
          <w:tcPr>
            <w:tcW w:type="dxa" w:w="14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~10–15% annual</w:t>
            </w:r>
          </w:p>
        </w:tc>
        <w:tc>
          <w:tcPr>
            <w:tcW w:type="dxa" w:w="100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w:t>
            </w:r>
          </w:p>
        </w:tc>
        <w:tc>
          <w:tcPr>
            <w:tcW w:type="dxa" w:w="2960"/>
            <w:tcBorders>
              <w:top w:val="single" w:color="CCCCCC" w:sz="1"/>
              <w:left w:val="single" w:color="CCCCCC" w:sz="1"/>
              <w:bottom w:val="single" w:color="CCCCCC" w:sz="1"/>
              <w:right w:val="single" w:color="CCCCCC" w:sz="1"/>
            </w:tcBorders>
            <w:shd w:fill="F7FBFF" w:val="clear"/>
            <w:tcMar>
              <w:top w:type="dxa" w:w="60"/>
              <w:left w:type="dxa" w:w="90"/>
              <w:bottom w:type="dxa" w:w="60"/>
              <w:right w:type="dxa" w:w="90"/>
            </w:tcMar>
          </w:tcPr>
          <w:p>
            <w:r>
              <w:rPr>
                <w:sz w:val="19"/>
                <w:szCs w:val="19"/>
              </w:rPr>
              <w:t xml:space="preserve">False correlation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ARB-06</w:t>
            </w:r>
          </w:p>
        </w:tc>
        <w:tc>
          <w:tcPr>
            <w:tcW w:type="dxa" w:w="22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Diversified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$5,000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4–10%</w:t>
            </w:r>
          </w:p>
        </w:tc>
        <w:tc>
          <w:tcPr>
            <w:tcW w:type="dxa" w:w="10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sz w:val="19"/>
                <w:szCs w:val="19"/>
              </w:rPr>
              <w:t xml:space="preserve">Temporal friction</w:t>
            </w:r>
          </w:p>
        </w:tc>
      </w:tr>
    </w:tbl>
    <w:p>
      <w:pPr>
        <w:spacing w:after="70" w:before="70"/>
      </w:pPr>
      <w:r>
        <w:t xml:space="preserve"/>
      </w:r>
    </w:p>
    <w:p>
      <w:pPr>
        <w:pBdr>
          <w:bottom w:val="single" w:color="2E75B6" w:sz="4" w:space="1"/>
        </w:pBdr>
        <w:spacing w:after="140" w:before="140"/>
      </w:pPr>
      <w:r>
        <w:t xml:space="preserve"/>
      </w:r>
    </w:p>
    <w:p>
      <w:pPr>
        <w:pStyle w:val="Heading1"/>
        <w:spacing w:after="130" w:before="380"/>
      </w:pPr>
      <w:r>
        <w:rPr>
          <w:b/>
          <w:bCs/>
          <w:color w:val="1E3A5F"/>
          <w:sz w:val="32"/>
          <w:szCs w:val="32"/>
        </w:rPr>
        <w:t xml:space="preserve">Section IV — Conclusions</w:t>
      </w:r>
    </w:p>
    <w:p>
      <w:pPr>
        <w:pStyle w:val="Heading2"/>
        <w:spacing w:after="80" w:before="240"/>
      </w:pPr>
      <w:r>
        <w:rPr>
          <w:b/>
          <w:bCs/>
          <w:color w:val="2E75B6"/>
          <w:sz w:val="26"/>
          <w:szCs w:val="26"/>
        </w:rPr>
        <w:t xml:space="preserve">Real Risks and Expected Returns by Strategy</w:t>
      </w:r>
    </w:p>
    <w:p>
      <w:pPr>
        <w:spacing w:after="60" w:before="60"/>
      </w:pPr>
      <w:r>
        <w:rPr>
          <w:sz w:val="21"/>
          <w:szCs w:val="21"/>
        </w:rPr>
        <w:t xml:space="preserve">Pure arbitrage has a reputation for being 'risk-free', but this description applies only to market risk. Operational and technological risks are real, significant, and have destroyed portfolios that underestimated their impact:</w:t>
      </w:r>
    </w:p>
    <w:p>
      <w:pPr>
        <w:spacing w:after="70" w:before="70"/>
      </w:pPr>
      <w:r>
        <w:t xml:space="preserve"/>
      </w:r>
    </w:p>
    <w:p>
      <w:pPr>
        <w:pStyle w:val="ListParagraph"/>
        <w:numPr>
          <w:ilvl w:val="0"/>
          <w:numId w:val="2"/>
        </w:numPr>
        <w:spacing w:after="40" w:before="40"/>
      </w:pPr>
      <w:r>
        <w:rPr>
          <w:sz w:val="21"/>
          <w:szCs w:val="21"/>
        </w:rPr>
        <w:t xml:space="preserve">Partial Execution Risk (Universal): The greatest enemy of any arbitrage on Polymarket. If half the position is completed and the price moves on the other side before closing, what was a guaranteed profit becomes a guaranteed loss. Parallel execution technology (asyncio, WebSockets) is mandatory, not optional.</w:t>
      </w:r>
    </w:p>
    <w:p>
      <w:pPr>
        <w:pStyle w:val="ListParagraph"/>
        <w:numPr>
          <w:ilvl w:val="0"/>
          <w:numId w:val="2"/>
        </w:numPr>
        <w:spacing w:after="40" w:before="40"/>
      </w:pPr>
      <w:r>
        <w:rPr>
          <w:sz w:val="21"/>
          <w:szCs w:val="21"/>
        </w:rPr>
        <w:t xml:space="preserve">ARB-01/02 — Low Risk / Modest Return: Typical ROI of 2–5% per trade before fees. At high frequency (dozens of daily operations) it can generate annualised returns of 40–80%. The main risk is competition from other bots and spread erosion from growing liquidity. Ideal for beginners.</w:t>
      </w:r>
    </w:p>
    <w:p>
      <w:pPr>
        <w:pStyle w:val="ListParagraph"/>
        <w:numPr>
          <w:ilvl w:val="0"/>
          <w:numId w:val="2"/>
        </w:numPr>
        <w:spacing w:after="40" w:before="40"/>
      </w:pPr>
      <w:r>
        <w:rPr>
          <w:sz w:val="21"/>
          <w:szCs w:val="21"/>
        </w:rPr>
        <w:t xml:space="preserve">ARB-03/04 — Medium Risk / Moderate Return: Typical ROI of 5–15% when the inefficiency is real. The 'weak link' risk (a single illiquid option that prevents completing the basket) can leave you with a partial position over which no arbitrage exists. Requires 5–10× more minimum capital than ARB-01/02 to cover the multiple fees.</w:t>
      </w:r>
    </w:p>
    <w:p>
      <w:pPr>
        <w:pStyle w:val="ListParagraph"/>
        <w:numPr>
          <w:ilvl w:val="0"/>
          <w:numId w:val="2"/>
        </w:numPr>
        <w:spacing w:after="40" w:before="40"/>
      </w:pPr>
      <w:r>
        <w:rPr>
          <w:sz w:val="21"/>
          <w:szCs w:val="21"/>
        </w:rPr>
        <w:t xml:space="preserve">ARB-05 — High Risk / Low Return (relative): The documented annual return of ~$95,000 may seem attractive, but against a $30,000–$80,000 infrastructure investment and $500,000+ deployed capital, the ROI on capital is 10–15% annually — comparable to a passive investment fund without the technological headaches.</w:t>
      </w:r>
    </w:p>
    <w:p>
      <w:pPr>
        <w:pStyle w:val="ListParagraph"/>
        <w:numPr>
          <w:ilvl w:val="0"/>
          <w:numId w:val="2"/>
        </w:numPr>
        <w:spacing w:after="40" w:before="40"/>
      </w:pPr>
      <w:r>
        <w:rPr>
          <w:sz w:val="21"/>
          <w:szCs w:val="21"/>
        </w:rPr>
        <w:t xml:space="preserve">ARB-06 — Medium Risk / Moderate-to-High Return: The spread between platforms can be 4–10% gross, but transfer friction (time + cost) consumes 30–50% of the spread. The 'left uncovered' risk during the 24–72h transfer window is the hardest to manage and the one that most surprises new practitioners.</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1"/>
              <w:left w:val="single" w:color="CC7700" w:sz="4"/>
              <w:bottom w:val="single" w:color="CC7700" w:sz="1"/>
              <w:right w:val="single" w:color="CC7700" w:sz="1"/>
            </w:tcBorders>
            <w:shd w:fill="FFF8EC" w:val="clear"/>
            <w:tcMar>
              <w:top w:type="dxa" w:w="110"/>
              <w:left w:type="dxa" w:w="170"/>
              <w:bottom w:type="dxa" w:w="110"/>
              <w:right w:type="dxa" w:w="170"/>
            </w:tcMar>
          </w:tcPr>
          <w:p>
            <w:r>
              <w:rPr>
                <w:b/>
                <w:bCs/>
                <w:color w:val="CC7700"/>
                <w:sz w:val="21"/>
                <w:szCs w:val="21"/>
              </w:rPr>
              <w:t xml:space="preserve">The Sunk Cost Rule: </w:t>
            </w:r>
            <w:r>
              <w:rPr>
                <w:sz w:val="21"/>
                <w:szCs w:val="21"/>
              </w:rPr>
              <w:t xml:space="preserve">Every arbitrage profit must be analysed net of gas fees, platform commissions, transfer costs, and USDC/USD conversion spread. A trade with 3% gross ROI may be negative with 2.5% total friction. Always model the worst-case cost scenario before executing.</w:t>
            </w:r>
          </w:p>
        </w:tc>
      </w:tr>
    </w:tbl>
    <w:p>
      <w:pPr>
        <w:spacing w:after="70" w:before="70"/>
      </w:pPr>
      <w:r>
        <w:t xml:space="preserve"/>
      </w:r>
    </w:p>
    <w:p>
      <w:pPr>
        <w:pStyle w:val="Heading2"/>
        <w:spacing w:after="80" w:before="240"/>
      </w:pPr>
      <w:r>
        <w:rPr>
          <w:b/>
          <w:bCs/>
          <w:color w:val="2E75B6"/>
          <w:sz w:val="26"/>
          <w:szCs w:val="26"/>
        </w:rPr>
        <w:t xml:space="preserve">Mandatory Market Conditions by Strategy</w:t>
      </w:r>
    </w:p>
    <w:p>
      <w:pPr>
        <w:spacing w:after="60" w:before="60"/>
      </w:pPr>
      <w:r>
        <w:rPr>
          <w:sz w:val="21"/>
          <w:szCs w:val="21"/>
        </w:rPr>
        <w:t xml:space="preserve">Not every detected inefficiency is an executable opportunity. Each strategy requires the market to meet a set of minimum conditions before justifying capital deployment. Ignoring these conditions is the most frequent cause of losses among novice arbitrageurs:</w:t>
      </w:r>
    </w:p>
    <w:p>
      <w:pPr>
        <w:spacing w:after="70" w:before="70"/>
      </w:pPr>
      <w:r>
        <w:t xml:space="preserve"/>
      </w:r>
    </w:p>
    <w:p>
      <w:pPr>
        <w:pStyle w:val="Heading3"/>
        <w:spacing w:after="60" w:before="180"/>
      </w:pPr>
      <w:r>
        <w:rPr>
          <w:b/>
          <w:bCs/>
          <w:color w:val="2E75B6"/>
          <w:sz w:val="23"/>
          <w:szCs w:val="23"/>
        </w:rPr>
        <w:t xml:space="preserve">ARB-01 / ARB-02 — Simple Binary Market</w:t>
      </w:r>
    </w:p>
    <w:p>
      <w:pPr>
        <w:pStyle w:val="ListParagraph"/>
        <w:numPr>
          <w:ilvl w:val="0"/>
          <w:numId w:val="2"/>
        </w:numPr>
        <w:spacing w:after="40" w:before="40"/>
      </w:pPr>
      <w:r>
        <w:rPr>
          <w:sz w:val="21"/>
          <w:szCs w:val="21"/>
        </w:rPr>
        <w:t xml:space="preserve">Sum P_yes + P_no &lt; $0.98 (minimum 2% inefficiency)</w:t>
      </w:r>
    </w:p>
    <w:p>
      <w:pPr>
        <w:pStyle w:val="ListParagraph"/>
        <w:numPr>
          <w:ilvl w:val="0"/>
          <w:numId w:val="2"/>
        </w:numPr>
        <w:spacing w:after="40" w:before="40"/>
      </w:pPr>
      <w:r>
        <w:rPr>
          <w:sz w:val="21"/>
          <w:szCs w:val="21"/>
        </w:rPr>
        <w:t xml:space="preserve">Liquidity &gt; $500 on both sides of the order book</w:t>
      </w:r>
    </w:p>
    <w:p>
      <w:pPr>
        <w:pStyle w:val="ListParagraph"/>
        <w:numPr>
          <w:ilvl w:val="0"/>
          <w:numId w:val="2"/>
        </w:numPr>
        <w:spacing w:after="40" w:before="40"/>
      </w:pPr>
      <w:r>
        <w:rPr>
          <w:sz w:val="21"/>
          <w:szCs w:val="21"/>
        </w:rPr>
        <w:t xml:space="preserve">Time to expiry &gt; 24 hours (avoid surprise resolution)</w:t>
      </w:r>
    </w:p>
    <w:p>
      <w:pPr>
        <w:pStyle w:val="ListParagraph"/>
        <w:numPr>
          <w:ilvl w:val="0"/>
          <w:numId w:val="2"/>
        </w:numPr>
        <w:spacing w:after="40" w:before="40"/>
      </w:pPr>
      <w:r>
        <w:rPr>
          <w:sz w:val="21"/>
          <w:szCs w:val="21"/>
        </w:rPr>
        <w:t xml:space="preserve">Individual spreads &lt; 0.5 cents (liquid market)</w:t>
      </w:r>
    </w:p>
    <w:p>
      <w:pPr>
        <w:pStyle w:val="ListParagraph"/>
        <w:numPr>
          <w:ilvl w:val="0"/>
          <w:numId w:val="2"/>
        </w:numPr>
        <w:spacing w:after="40" w:before="40"/>
      </w:pPr>
      <w:r>
        <w:rPr>
          <w:sz w:val="21"/>
          <w:szCs w:val="21"/>
        </w:rPr>
        <w:t xml:space="preserve">No pending external events that could move the price before execution</w:t>
      </w:r>
    </w:p>
    <w:p>
      <w:pPr>
        <w:spacing w:after="70" w:before="70"/>
      </w:pPr>
      <w:r>
        <w:t xml:space="preserve"/>
      </w:r>
    </w:p>
    <w:p>
      <w:pPr>
        <w:pStyle w:val="Heading3"/>
        <w:spacing w:after="60" w:before="180"/>
      </w:pPr>
      <w:r>
        <w:rPr>
          <w:b/>
          <w:bCs/>
          <w:color w:val="2E75B6"/>
          <w:sz w:val="23"/>
          <w:szCs w:val="23"/>
        </w:rPr>
        <w:t xml:space="preserve">ARB-03 / ARB-04 — Multi-Option NegRisk Market</w:t>
      </w:r>
    </w:p>
    <w:p>
      <w:pPr>
        <w:pStyle w:val="ListParagraph"/>
        <w:numPr>
          <w:ilvl w:val="0"/>
          <w:numId w:val="2"/>
        </w:numPr>
        <w:spacing w:after="40" w:before="40"/>
      </w:pPr>
      <w:r>
        <w:rPr>
          <w:sz w:val="21"/>
          <w:szCs w:val="21"/>
        </w:rPr>
        <w:t xml:space="preserve">Total basket sum &lt; $0.85 (minimum 15% inefficiency)</w:t>
      </w:r>
    </w:p>
    <w:p>
      <w:pPr>
        <w:pStyle w:val="ListParagraph"/>
        <w:numPr>
          <w:ilvl w:val="0"/>
          <w:numId w:val="2"/>
        </w:numPr>
        <w:spacing w:after="40" w:before="40"/>
      </w:pPr>
      <w:r>
        <w:rPr>
          <w:sz w:val="21"/>
          <w:szCs w:val="21"/>
        </w:rPr>
        <w:t xml:space="preserve">Minimum liquidity in ALL options (the weakest link governs)</w:t>
      </w:r>
    </w:p>
    <w:p>
      <w:pPr>
        <w:pStyle w:val="ListParagraph"/>
        <w:numPr>
          <w:ilvl w:val="0"/>
          <w:numId w:val="2"/>
        </w:numPr>
        <w:spacing w:after="40" w:before="40"/>
      </w:pPr>
      <w:r>
        <w:rPr>
          <w:sz w:val="21"/>
          <w:szCs w:val="21"/>
        </w:rPr>
        <w:t xml:space="preserve">Number of options ≤ 8 (more options = more technical failure risk)</w:t>
      </w:r>
    </w:p>
    <w:p>
      <w:pPr>
        <w:pStyle w:val="ListParagraph"/>
        <w:numPr>
          <w:ilvl w:val="0"/>
          <w:numId w:val="2"/>
        </w:numPr>
        <w:spacing w:after="40" w:before="40"/>
      </w:pPr>
      <w:r>
        <w:rPr>
          <w:sz w:val="21"/>
          <w:szCs w:val="21"/>
        </w:rPr>
        <w:t xml:space="preserve">Gross ROI &gt; number_of_options × 1.5% (to cover commissions)</w:t>
      </w:r>
    </w:p>
    <w:p>
      <w:pPr>
        <w:pStyle w:val="ListParagraph"/>
        <w:numPr>
          <w:ilvl w:val="0"/>
          <w:numId w:val="2"/>
        </w:numPr>
        <w:spacing w:after="40" w:before="40"/>
      </w:pPr>
      <w:r>
        <w:rPr>
          <w:sz w:val="21"/>
          <w:szCs w:val="21"/>
        </w:rPr>
        <w:t xml:space="preserve">Confirmation that it is a NegRisk market (does not sum to more than $1.00 by design)</w:t>
      </w:r>
    </w:p>
    <w:p>
      <w:pPr>
        <w:spacing w:after="70" w:before="70"/>
      </w:pPr>
      <w:r>
        <w:t xml:space="preserve"/>
      </w:r>
    </w:p>
    <w:p>
      <w:pPr>
        <w:pStyle w:val="Heading3"/>
        <w:spacing w:after="60" w:before="180"/>
      </w:pPr>
      <w:r>
        <w:rPr>
          <w:b/>
          <w:bCs/>
          <w:color w:val="2E75B6"/>
          <w:sz w:val="23"/>
          <w:szCs w:val="23"/>
        </w:rPr>
        <w:t xml:space="preserve">ARB-05 — Cross-Market Correlation</w:t>
      </w:r>
    </w:p>
    <w:p>
      <w:pPr>
        <w:pStyle w:val="ListParagraph"/>
        <w:numPr>
          <w:ilvl w:val="0"/>
          <w:numId w:val="2"/>
        </w:numPr>
        <w:spacing w:after="40" w:before="40"/>
      </w:pPr>
      <w:r>
        <w:rPr>
          <w:sz w:val="21"/>
          <w:szCs w:val="21"/>
        </w:rPr>
        <w:t xml:space="preserve">Documentable and defensible causal correlation between the two markets</w:t>
      </w:r>
    </w:p>
    <w:p>
      <w:pPr>
        <w:pStyle w:val="ListParagraph"/>
        <w:numPr>
          <w:ilvl w:val="0"/>
          <w:numId w:val="2"/>
        </w:numPr>
        <w:spacing w:after="40" w:before="40"/>
      </w:pPr>
      <w:r>
        <w:rPr>
          <w:sz w:val="21"/>
          <w:szCs w:val="21"/>
        </w:rPr>
        <w:t xml:space="preserve">Implied probability differential &gt; 15 percentage points</w:t>
      </w:r>
    </w:p>
    <w:p>
      <w:pPr>
        <w:pStyle w:val="ListParagraph"/>
        <w:numPr>
          <w:ilvl w:val="0"/>
          <w:numId w:val="2"/>
        </w:numPr>
        <w:spacing w:after="40" w:before="40"/>
      </w:pPr>
      <w:r>
        <w:rPr>
          <w:sz w:val="21"/>
          <w:szCs w:val="21"/>
        </w:rPr>
        <w:t xml:space="preserve">Minimum capital $500,000 to diversify across multiple inconsistencies</w:t>
      </w:r>
    </w:p>
    <w:p>
      <w:pPr>
        <w:pStyle w:val="ListParagraph"/>
        <w:numPr>
          <w:ilvl w:val="0"/>
          <w:numId w:val="2"/>
        </w:numPr>
        <w:spacing w:after="40" w:before="40"/>
      </w:pPr>
      <w:r>
        <w:rPr>
          <w:sz w:val="21"/>
          <w:szCs w:val="21"/>
        </w:rPr>
        <w:t xml:space="preserve">LLM + mathematical solver infrastructure validated and in production</w:t>
      </w:r>
    </w:p>
    <w:p>
      <w:pPr>
        <w:pStyle w:val="ListParagraph"/>
        <w:numPr>
          <w:ilvl w:val="0"/>
          <w:numId w:val="2"/>
        </w:numPr>
        <w:spacing w:after="40" w:before="40"/>
      </w:pPr>
      <w:r>
        <w:rPr>
          <w:sz w:val="21"/>
          <w:szCs w:val="21"/>
        </w:rPr>
        <w:t xml:space="preserve">Aligned time horizons between both correlated markets</w:t>
      </w:r>
    </w:p>
    <w:p>
      <w:pPr>
        <w:spacing w:after="70" w:before="70"/>
      </w:pPr>
      <w:r>
        <w:t xml:space="preserve"/>
      </w:r>
    </w:p>
    <w:p>
      <w:pPr>
        <w:pStyle w:val="Heading3"/>
        <w:spacing w:after="60" w:before="180"/>
      </w:pPr>
      <w:r>
        <w:rPr>
          <w:b/>
          <w:bCs/>
          <w:color w:val="2E75B6"/>
          <w:sz w:val="23"/>
          <w:szCs w:val="23"/>
        </w:rPr>
        <w:t xml:space="preserve">ARB-06 — Multi-Platform Cross-Exchange</w:t>
      </w:r>
    </w:p>
    <w:p>
      <w:pPr>
        <w:pStyle w:val="ListParagraph"/>
        <w:numPr>
          <w:ilvl w:val="0"/>
          <w:numId w:val="2"/>
        </w:numPr>
        <w:spacing w:after="40" w:before="40"/>
      </w:pPr>
      <w:r>
        <w:rPr>
          <w:sz w:val="21"/>
          <w:szCs w:val="21"/>
        </w:rPr>
        <w:t xml:space="preserve">Gross spread between platforms &gt; 4% (minimum to cover friction)</w:t>
      </w:r>
    </w:p>
    <w:p>
      <w:pPr>
        <w:pStyle w:val="ListParagraph"/>
        <w:numPr>
          <w:ilvl w:val="0"/>
          <w:numId w:val="2"/>
        </w:numPr>
        <w:spacing w:after="40" w:before="40"/>
      </w:pPr>
      <w:r>
        <w:rPr>
          <w:sz w:val="21"/>
          <w:szCs w:val="21"/>
        </w:rPr>
        <w:t xml:space="preserve">Time to expiry &gt; 7 days (margin for 24–72h transfers)</w:t>
      </w:r>
    </w:p>
    <w:p>
      <w:pPr>
        <w:pStyle w:val="ListParagraph"/>
        <w:numPr>
          <w:ilvl w:val="0"/>
          <w:numId w:val="2"/>
        </w:numPr>
        <w:spacing w:after="40" w:before="40"/>
      </w:pPr>
      <w:r>
        <w:rPr>
          <w:sz w:val="21"/>
          <w:szCs w:val="21"/>
        </w:rPr>
        <w:t xml:space="preserve">Funds pre-positioned on both platforms before the operation</w:t>
      </w:r>
    </w:p>
    <w:p>
      <w:pPr>
        <w:pStyle w:val="ListParagraph"/>
        <w:numPr>
          <w:ilvl w:val="0"/>
          <w:numId w:val="2"/>
        </w:numPr>
        <w:spacing w:after="40" w:before="40"/>
      </w:pPr>
      <w:r>
        <w:rPr>
          <w:sz w:val="21"/>
          <w:szCs w:val="21"/>
        </w:rPr>
        <w:t xml:space="preserve">Verify the event is identical on both platforms (same resolution conditions)</w:t>
      </w:r>
    </w:p>
    <w:p>
      <w:pPr>
        <w:pStyle w:val="ListParagraph"/>
        <w:numPr>
          <w:ilvl w:val="0"/>
          <w:numId w:val="2"/>
        </w:numPr>
        <w:spacing w:after="40" w:before="40"/>
      </w:pPr>
      <w:r>
        <w:rPr>
          <w:sz w:val="21"/>
          <w:szCs w:val="21"/>
        </w:rPr>
        <w:t xml:space="preserve">Confirm Kalshi accepts the event type for users in your jurisdiction</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4"/>
              <w:bottom w:val="single" w:color="1E3A5F" w:sz="1"/>
              <w:right w:val="single" w:color="1E3A5F" w:sz="1"/>
            </w:tcBorders>
            <w:shd w:fill="EBF3FB" w:val="clear"/>
            <w:tcMar>
              <w:top w:type="dxa" w:w="110"/>
              <w:left w:type="dxa" w:w="170"/>
              <w:bottom w:type="dxa" w:w="110"/>
              <w:right w:type="dxa" w:w="170"/>
            </w:tcMar>
          </w:tcPr>
          <w:p>
            <w:r>
              <w:rPr>
                <w:b/>
                <w:bCs/>
                <w:color w:val="1E3A5F"/>
                <w:sz w:val="21"/>
                <w:szCs w:val="21"/>
              </w:rPr>
              <w:t xml:space="preserve">The Final Criterion for Every Strategy: </w:t>
            </w:r>
            <w:r>
              <w:rPr>
                <w:sz w:val="21"/>
                <w:szCs w:val="21"/>
              </w:rPr>
              <w:t xml:space="preserve">Before executing any arbitrage on Polymarket, the investor must answer YES to three questions: (1) Can I execute both sides simultaneously with reliable technology? (2) Is the net ROI (after ALL friction) still positive under the worst-case cost scenario? (3) Do I have sufficient liquidity to hold the capital for the full time until market resolution? If the answer to any one of these is NO, the trade must not be executed.</w:t>
            </w:r>
          </w:p>
        </w:tc>
      </w:tr>
    </w:tbl>
    <w:p>
      <w:pPr>
        <w:spacing w:after="70" w:before="70"/>
      </w:pPr>
      <w:r>
        <w:t xml:space="preserve"/>
      </w:r>
    </w:p>
    <w:p>
      <w:pPr>
        <w:spacing w:after="40" w:before="100"/>
        <w:jc w:val="center"/>
      </w:pPr>
      <w:r>
        <w:rPr>
          <w:i/>
          <w:iCs/>
          <w:color w:val="555555"/>
          <w:sz w:val="18"/>
          <w:szCs w:val="18"/>
        </w:rPr>
        <w:t xml:space="preserve">Pure Arbitrage in Polymarket — Strategy Guide ARB-01 through ARB-06</w:t>
      </w:r>
    </w:p>
    <w:p>
      <w:pPr>
        <w:spacing w:after="40" w:before="0"/>
        <w:jc w:val="center"/>
      </w:pPr>
      <w:r>
        <w:rPr>
          <w:i/>
          <w:iCs/>
          <w:color w:val="888888"/>
          <w:sz w:val="16"/>
          <w:szCs w:val="16"/>
        </w:rPr>
        <w:t xml:space="preserve">Based on technical analysis of decentralised prediction markets  ·  Polymarket / Kalshi / NegRisk</w:t>
      </w:r>
    </w:p>
    <w:p>
      <w:pPr>
        <w:spacing w:after="80" w:before="0"/>
        <w:jc w:val="center"/>
      </w:pPr>
      <w:r>
        <w:rPr>
          <w:color w:val="AAAAAA"/>
          <w:sz w:val="15"/>
          <w:szCs w:val="15"/>
        </w:rPr>
        <w:t xml:space="preserve">ARB  ·  LMSR  ·  NEGRISK  ·  PREDICTION MARKETS  ·  QUANTITATIVE FINANCE  ·  ASYNCIO EXECUTION</w:t>
      </w:r>
    </w:p>
    <w:p>
      <w:pPr>
        <w:spacing w:after="70" w:before="7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8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2026-04-10T17:39:34.671Z</dcterms:created>
  <dcterms:modified xsi:type="dcterms:W3CDTF">2026-04-10T17:39:34.673Z</dcterms:modified>
</cp:coreProperties>
</file>

<file path=docProps/custom.xml><?xml version="1.0" encoding="utf-8"?>
<Properties xmlns="http://schemas.openxmlformats.org/officeDocument/2006/custom-properties" xmlns:vt="http://schemas.openxmlformats.org/officeDocument/2006/docPropsVTypes"/>
</file>