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5C3000" w:val="clear"/>
        <w:spacing w:after="40" w:before="40"/>
      </w:pPr>
      <w:r>
        <w:rPr>
          <w:rFonts w:ascii="Courier New" w:cs="Courier New" w:eastAsia="Courier New" w:hAnsi="Courier New"/>
          <w:b/>
          <w:bCs/>
          <w:color w:val="F7D0A0"/>
          <w:sz w:val="17"/>
          <w:szCs w:val="17"/>
        </w:rPr>
        <w:t xml:space="preserve">  PROYECT_MONI v1.0  |  GROUP 4  |  TECHNICAL GUIDE  |  2026</w:t>
      </w:r>
    </w:p>
    <w:p>
      <w:pPr>
        <w:spacing w:after="10" w:before="200"/>
      </w:pPr>
      <w:r>
        <w:rPr>
          <w:rFonts w:ascii="Arial" w:cs="Arial" w:eastAsia="Arial" w:hAnsi="Arial"/>
          <w:b/>
          <w:bCs/>
          <w:color w:val="2D2416"/>
          <w:sz w:val="80"/>
          <w:szCs w:val="80"/>
        </w:rPr>
        <w:t xml:space="preserve">Hedging &amp;</w:t>
      </w:r>
    </w:p>
    <w:p>
      <w:pPr>
        <w:spacing w:after="20" w:before="0"/>
      </w:pPr>
      <w:r>
        <w:rPr>
          <w:rFonts w:ascii="Arial" w:cs="Arial" w:eastAsia="Arial" w:hAnsi="Arial"/>
          <w:b w:val="false"/>
          <w:bCs w:val="false"/>
          <w:i/>
          <w:iCs/>
          <w:color w:val="C8700A"/>
          <w:sz w:val="64"/>
          <w:szCs w:val="64"/>
        </w:rPr>
        <w:t xml:space="preserve">Portfolio Protection</w:t>
      </w:r>
    </w:p>
    <w:p>
      <w:pPr>
        <w:spacing w:after="20" w:before="0"/>
      </w:pPr>
      <w:r>
        <w:rPr>
          <w:rFonts w:ascii="Arial" w:cs="Arial" w:eastAsia="Arial" w:hAnsi="Arial"/>
          <w:b w:val="false"/>
          <w:bCs w:val="false"/>
          <w:color w:val="6B4E28"/>
          <w:sz w:val="44"/>
          <w:szCs w:val="44"/>
        </w:rPr>
        <w:t xml:space="preserve">on Polymarket</w:t>
      </w:r>
    </w:p>
    <w:p>
      <w:pPr>
        <w:pBdr>
          <w:bottom w:val="single" w:color="F0B060" w:sz="6" w:space="2"/>
        </w:pBdr>
        <w:spacing w:after="60" w:before="60"/>
      </w:pPr>
      <w:r>
        <w:t xml:space="preserve"/>
      </w:r>
    </w:p>
    <w:p>
      <w:pPr>
        <w:spacing w:after="60" w:before="40"/>
      </w:pPr>
      <w:r>
        <w:rPr>
          <w:rFonts w:ascii="Arial" w:cs="Arial" w:eastAsia="Arial" w:hAnsi="Arial"/>
          <w:i/>
          <w:iCs/>
          <w:color w:val="6B4E28"/>
          <w:sz w:val="24"/>
          <w:szCs w:val="24"/>
        </w:rPr>
        <w:t xml:space="preserve">Three Defensive Strategies — Using Prediction Markets as Insurance Instruments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7D0A0" w:sz="1"/>
              <w:left w:val="single" w:color="F7D0A0" w:sz="1"/>
              <w:bottom w:val="single" w:color="F7D0A0" w:sz="1"/>
              <w:right w:val="single" w:color="F7D0A0" w:sz="1"/>
            </w:tcBorders>
            <w:shd w:fill="FDECD8" w:val="clear"/>
            <w:tcMar>
              <w:top w:type="dxa" w:w="100"/>
              <w:left w:type="dxa" w:w="80"/>
              <w:bottom w:type="dxa" w:w="100"/>
              <w:right w:type="dxa" w:w="80"/>
            </w:tcMar>
          </w:tcPr>
          <w:p>
            <w:pPr>
              <w:spacing w:after="20" w:before="60"/>
              <w:jc w:val="center"/>
            </w:pPr>
            <w:r>
              <w:rPr>
                <w:rFonts w:ascii="Arial" w:cs="Arial" w:eastAsia="Arial" w:hAnsi="Arial"/>
                <w:b/>
                <w:bCs/>
                <w:color w:val="5C3000"/>
                <w:sz w:val="30"/>
                <w:szCs w:val="30"/>
              </w:rPr>
              <w:t xml:space="preserve">3</w:t>
            </w:r>
          </w:p>
          <w:p>
            <w:pPr>
              <w:spacing w:after="60" w:before="0"/>
              <w:jc w:val="center"/>
            </w:pPr>
            <w:r>
              <w:rPr>
                <w:rFonts w:ascii="Courier New" w:cs="Courier New" w:eastAsia="Courier New" w:hAnsi="Courier New"/>
                <w:color w:val="6B4E28"/>
                <w:sz w:val="15"/>
                <w:szCs w:val="15"/>
              </w:rPr>
              <w:t xml:space="preserve">HEDGE STRATEGIES</w:t>
            </w:r>
          </w:p>
        </w:tc>
        <w:tc>
          <w:tcPr>
            <w:tcW w:type="dxa" w:w="2340"/>
            <w:tcBorders>
              <w:top w:val="single" w:color="F7D0A0" w:sz="1"/>
              <w:left w:val="single" w:color="F7D0A0" w:sz="1"/>
              <w:bottom w:val="single" w:color="F7D0A0" w:sz="1"/>
              <w:right w:val="single" w:color="F7D0A0" w:sz="1"/>
            </w:tcBorders>
            <w:shd w:fill="FDECD8" w:val="clear"/>
            <w:tcMar>
              <w:top w:type="dxa" w:w="100"/>
              <w:left w:type="dxa" w:w="80"/>
              <w:bottom w:type="dxa" w:w="100"/>
              <w:right w:type="dxa" w:w="80"/>
            </w:tcMar>
          </w:tcPr>
          <w:p>
            <w:pPr>
              <w:spacing w:after="20" w:before="60"/>
              <w:jc w:val="center"/>
            </w:pPr>
            <w:r>
              <w:rPr>
                <w:rFonts w:ascii="Arial" w:cs="Arial" w:eastAsia="Arial" w:hAnsi="Arial"/>
                <w:b/>
                <w:bCs/>
                <w:color w:val="5C3000"/>
                <w:sz w:val="30"/>
                <w:szCs w:val="30"/>
              </w:rPr>
              <w:t xml:space="preserve">Variable</w:t>
            </w:r>
          </w:p>
          <w:p>
            <w:pPr>
              <w:spacing w:after="60" w:before="0"/>
              <w:jc w:val="center"/>
            </w:pPr>
            <w:r>
              <w:rPr>
                <w:rFonts w:ascii="Courier New" w:cs="Courier New" w:eastAsia="Courier New" w:hAnsi="Courier New"/>
                <w:color w:val="6B4E28"/>
                <w:sz w:val="15"/>
                <w:szCs w:val="15"/>
              </w:rPr>
              <w:t xml:space="preserve">RISK LEVEL</w:t>
            </w:r>
          </w:p>
        </w:tc>
        <w:tc>
          <w:tcPr>
            <w:tcW w:type="dxa" w:w="2340"/>
            <w:tcBorders>
              <w:top w:val="single" w:color="F7D0A0" w:sz="1"/>
              <w:left w:val="single" w:color="F7D0A0" w:sz="1"/>
              <w:bottom w:val="single" w:color="F7D0A0" w:sz="1"/>
              <w:right w:val="single" w:color="F7D0A0" w:sz="1"/>
            </w:tcBorders>
            <w:shd w:fill="FDECD8" w:val="clear"/>
            <w:tcMar>
              <w:top w:type="dxa" w:w="100"/>
              <w:left w:type="dxa" w:w="80"/>
              <w:bottom w:type="dxa" w:w="100"/>
              <w:right w:type="dxa" w:w="80"/>
            </w:tcMar>
          </w:tcPr>
          <w:p>
            <w:pPr>
              <w:spacing w:after="20" w:before="60"/>
              <w:jc w:val="center"/>
            </w:pPr>
            <w:r>
              <w:rPr>
                <w:rFonts w:ascii="Arial" w:cs="Arial" w:eastAsia="Arial" w:hAnsi="Arial"/>
                <w:b/>
                <w:bCs/>
                <w:color w:val="5C3000"/>
                <w:sz w:val="30"/>
                <w:szCs w:val="30"/>
              </w:rPr>
              <w:t xml:space="preserve">Compensatory</w:t>
            </w:r>
          </w:p>
          <w:p>
            <w:pPr>
              <w:spacing w:after="60" w:before="0"/>
              <w:jc w:val="center"/>
            </w:pPr>
            <w:r>
              <w:rPr>
                <w:rFonts w:ascii="Courier New" w:cs="Courier New" w:eastAsia="Courier New" w:hAnsi="Courier New"/>
                <w:color w:val="6B4E28"/>
                <w:sz w:val="15"/>
                <w:szCs w:val="15"/>
              </w:rPr>
              <w:t xml:space="preserve">GAIN TYPE</w:t>
            </w:r>
          </w:p>
        </w:tc>
        <w:tc>
          <w:tcPr>
            <w:tcW w:type="dxa" w:w="2340"/>
            <w:tcBorders>
              <w:top w:val="single" w:color="F7D0A0" w:sz="1"/>
              <w:left w:val="single" w:color="F7D0A0" w:sz="1"/>
              <w:bottom w:val="single" w:color="F7D0A0" w:sz="1"/>
              <w:right w:val="single" w:color="F7D0A0" w:sz="1"/>
            </w:tcBorders>
            <w:shd w:fill="FDECD8" w:val="clear"/>
            <w:tcMar>
              <w:top w:type="dxa" w:w="100"/>
              <w:left w:type="dxa" w:w="80"/>
              <w:bottom w:type="dxa" w:w="100"/>
              <w:right w:type="dxa" w:w="80"/>
            </w:tcMar>
          </w:tcPr>
          <w:p>
            <w:pPr>
              <w:spacing w:after="20" w:before="60"/>
              <w:jc w:val="center"/>
            </w:pPr>
            <w:r>
              <w:rPr>
                <w:rFonts w:ascii="Arial" w:cs="Arial" w:eastAsia="Arial" w:hAnsi="Arial"/>
                <w:b/>
                <w:bCs/>
                <w:color w:val="5C3000"/>
                <w:sz w:val="30"/>
                <w:szCs w:val="30"/>
              </w:rPr>
              <w:t xml:space="preserve">Partial</w:t>
            </w:r>
          </w:p>
          <w:p>
            <w:pPr>
              <w:spacing w:after="60" w:before="0"/>
              <w:jc w:val="center"/>
            </w:pPr>
            <w:r>
              <w:rPr>
                <w:rFonts w:ascii="Courier New" w:cs="Courier New" w:eastAsia="Courier New" w:hAnsi="Courier New"/>
                <w:color w:val="6B4E28"/>
                <w:sz w:val="15"/>
                <w:szCs w:val="15"/>
              </w:rPr>
              <w:t xml:space="preserve">AUTOMATABLE</w:t>
            </w:r>
          </w:p>
        </w:tc>
      </w:tr>
    </w:tbl>
    <w:p>
      <w:pPr>
        <w:shd w:fill="5C3000" w:val="clear"/>
        <w:spacing w:after="100" w:before="360"/>
      </w:pPr>
      <w:r>
        <w:rPr>
          <w:rFonts w:ascii="Courier New" w:cs="Courier New" w:eastAsia="Courier New" w:hAnsi="Courier New"/>
          <w:b/>
          <w:bCs/>
          <w:color w:val="FAE0C0"/>
          <w:sz w:val="17"/>
          <w:szCs w:val="17"/>
        </w:rPr>
        <w:t xml:space="preserve">  // 01 · INTRODUCTION  </w:t>
      </w:r>
    </w:p>
    <w:p>
      <w:pPr>
        <w:pStyle w:val="Heading1"/>
        <w:pBdr>
          <w:bottom w:val="single" w:color="F0B060" w:sz="8" w:space="3"/>
        </w:pBdr>
        <w:spacing w:after="140" w:before="280"/>
      </w:pPr>
      <w:r>
        <w:rPr>
          <w:rFonts w:ascii="Arial" w:cs="Arial" w:eastAsia="Arial" w:hAnsi="Arial"/>
          <w:b/>
          <w:bCs/>
          <w:color w:val="2D2416"/>
          <w:sz w:val="40"/>
          <w:szCs w:val="40"/>
        </w:rPr>
        <w:t xml:space="preserve">What is Hedging on Polymarket — and Why Does It Matter?</w:t>
      </w:r>
    </w:p>
    <w:p>
      <w:pPr>
        <w:spacing w:after="60" w:before="60"/>
      </w:pPr>
      <w:r>
        <w:rPr>
          <w:rFonts w:ascii="Arial" w:cs="Arial" w:eastAsia="Arial" w:hAnsi="Arial"/>
          <w:color w:val="3D2B10"/>
          <w:sz w:val="22"/>
          <w:szCs w:val="22"/>
        </w:rPr>
        <w:t xml:space="preserve">Polymarket is most commonly understood as a platform for speculative trading — buying YES or NO tokens to profit from correctly predicting real-world events. But Group 4 reveals a </w:t>
      </w:r>
      <w:r>
        <w:rPr>
          <w:rFonts w:ascii="Arial" w:cs="Arial" w:eastAsia="Arial" w:hAnsi="Arial"/>
          <w:b/>
          <w:bCs/>
          <w:color w:val="2D2416"/>
          <w:sz w:val="22"/>
          <w:szCs w:val="22"/>
        </w:rPr>
        <w:t xml:space="preserve">fundamentally different use case: </w:t>
      </w:r>
      <w:r>
        <w:rPr>
          <w:rFonts w:ascii="Arial" w:cs="Arial" w:eastAsia="Arial" w:hAnsi="Arial"/>
          <w:color w:val="3D2B10"/>
          <w:sz w:val="22"/>
          <w:szCs w:val="22"/>
        </w:rPr>
        <w:t xml:space="preserve">Polymarket as a financial instrument for </w:t>
      </w:r>
      <w:r>
        <w:rPr>
          <w:rFonts w:ascii="Arial" w:cs="Arial" w:eastAsia="Arial" w:hAnsi="Arial"/>
          <w:b/>
          <w:bCs/>
          <w:color w:val="2D2416"/>
          <w:sz w:val="22"/>
          <w:szCs w:val="22"/>
        </w:rPr>
        <w:t xml:space="preserve">risk management and portfolio protection.</w:t>
      </w:r>
      <w:r>
        <w:rPr>
          <w:rFonts w:ascii="Arial" w:cs="Arial" w:eastAsia="Arial" w:hAnsi="Arial"/>
          <w:color w:val="3D2B10"/>
          <w:sz w:val="22"/>
          <w:szCs w:val="22"/>
        </w:rPr>
        <w:t xml:space="preserve"> In this framework, the trader is not trying to win on Polymarket. The trader is trying to </w:t>
      </w:r>
      <w:r>
        <w:rPr>
          <w:rFonts w:ascii="Arial" w:cs="Arial" w:eastAsia="Arial" w:hAnsi="Arial"/>
          <w:b/>
          <w:bCs/>
          <w:color w:val="2D2416"/>
          <w:sz w:val="22"/>
          <w:szCs w:val="22"/>
        </w:rPr>
        <w:t xml:space="preserve">reduce losses elsewhere.</w:t>
      </w:r>
    </w:p>
    <w:p>
      <w:pPr>
        <w:spacing w:after="0" w:before="50"/>
      </w:pPr>
      <w:r>
        <w:t xml:space="preserve"/>
      </w:r>
    </w:p>
    <w:p>
      <w:pPr>
        <w:spacing w:after="60" w:before="60"/>
      </w:pPr>
      <w:r>
        <w:rPr>
          <w:rFonts w:ascii="Arial" w:cs="Arial" w:eastAsia="Arial" w:hAnsi="Arial"/>
          <w:color w:val="3D2B10"/>
          <w:sz w:val="22"/>
          <w:szCs w:val="22"/>
        </w:rPr>
        <w:t xml:space="preserve">This distinction is philosophically important. In Groups 1, 2, and 3, Polymarket </w:t>
      </w:r>
      <w:r>
        <w:rPr>
          <w:rFonts w:ascii="Arial" w:cs="Arial" w:eastAsia="Arial" w:hAnsi="Arial"/>
          <w:i/>
          <w:iCs/>
          <w:color w:val="6B4E28"/>
          <w:sz w:val="22"/>
          <w:szCs w:val="22"/>
        </w:rPr>
        <w:t xml:space="preserve">is</w:t>
      </w:r>
      <w:r>
        <w:rPr>
          <w:rFonts w:ascii="Arial" w:cs="Arial" w:eastAsia="Arial" w:hAnsi="Arial"/>
          <w:color w:val="3D2B10"/>
          <w:sz w:val="22"/>
          <w:szCs w:val="22"/>
        </w:rPr>
        <w:t xml:space="preserve"> the investment. In Group 4, Polymarket </w:t>
      </w:r>
      <w:r>
        <w:rPr>
          <w:rFonts w:ascii="Arial" w:cs="Arial" w:eastAsia="Arial" w:hAnsi="Arial"/>
          <w:i/>
          <w:iCs/>
          <w:color w:val="6B4E28"/>
          <w:sz w:val="22"/>
          <w:szCs w:val="22"/>
        </w:rPr>
        <w:t xml:space="preserve">protects</w:t>
      </w:r>
      <w:r>
        <w:rPr>
          <w:rFonts w:ascii="Arial" w:cs="Arial" w:eastAsia="Arial" w:hAnsi="Arial"/>
          <w:color w:val="3D2B10"/>
          <w:sz w:val="22"/>
          <w:szCs w:val="22"/>
        </w:rPr>
        <w:t xml:space="preserve"> the investment — which lives outside the platform, in a crypto portfolio, a business operation, or a financial position. The Polymarket position is the cost of insurance, not the source of return.</w:t>
      </w:r>
    </w:p>
    <w:p>
      <w:pPr>
        <w:spacing w:after="0" w:before="50"/>
      </w:pPr>
      <w:r>
        <w:t xml:space="preserve"/>
      </w:r>
    </w:p>
    <w:p>
      <w:pPr>
        <w:spacing w:after="60" w:before="60"/>
      </w:pPr>
      <w:r>
        <w:rPr>
          <w:rFonts w:ascii="Arial" w:cs="Arial" w:eastAsia="Arial" w:hAnsi="Arial"/>
          <w:color w:val="3D2B10"/>
          <w:sz w:val="22"/>
          <w:szCs w:val="22"/>
        </w:rPr>
        <w:t xml:space="preserve">The concept mirrors classical financial hedging. A wheat farmer sells futures to lock in a price and protect against a harvest-time price drop. An airline buys oil futures to protect against fuel cost spikes. An exporter buys currency options to protect against exchange-rate moves. In each case, the hedger accepts a capped maximum gain in exchange for a </w:t>
      </w:r>
      <w:r>
        <w:rPr>
          <w:rFonts w:ascii="Arial" w:cs="Arial" w:eastAsia="Arial" w:hAnsi="Arial"/>
          <w:b/>
          <w:bCs/>
          <w:color w:val="2D2416"/>
          <w:sz w:val="22"/>
          <w:szCs w:val="22"/>
        </w:rPr>
        <w:t xml:space="preserve">floor on maximum loss.</w:t>
      </w:r>
      <w:r>
        <w:rPr>
          <w:rFonts w:ascii="Arial" w:cs="Arial" w:eastAsia="Arial" w:hAnsi="Arial"/>
          <w:color w:val="3D2B10"/>
          <w:sz w:val="22"/>
          <w:szCs w:val="22"/>
        </w:rPr>
        <w:t xml:space="preserve"> Polymarket allows the same logic to be applied to </w:t>
      </w:r>
      <w:r>
        <w:rPr>
          <w:rFonts w:ascii="Arial" w:cs="Arial" w:eastAsia="Arial" w:hAnsi="Arial"/>
          <w:b/>
          <w:bCs/>
          <w:color w:val="2D2416"/>
          <w:sz w:val="22"/>
          <w:szCs w:val="22"/>
        </w:rPr>
        <w:t xml:space="preserve">event-driven risks</w:t>
      </w:r>
      <w:r>
        <w:rPr>
          <w:rFonts w:ascii="Arial" w:cs="Arial" w:eastAsia="Arial" w:hAnsi="Arial"/>
          <w:color w:val="3D2B10"/>
          <w:sz w:val="22"/>
          <w:szCs w:val="22"/>
        </w:rPr>
        <w:t xml:space="preserve"> that have no traditional derivative instrument — regulatory changes, election outcomes, climate events, geopolitical disruptions.</w:t>
      </w:r>
    </w:p>
    <w:p>
      <w:pPr>
        <w:spacing w:after="0" w:before="50"/>
      </w:pPr>
      <w:r>
        <w:t xml:space="preserve"/>
      </w:r>
    </w:p>
    <w:p>
      <w:pPr>
        <w:spacing w:after="60" w:before="60"/>
      </w:pPr>
      <w:r>
        <w:rPr>
          <w:rFonts w:ascii="Arial" w:cs="Arial" w:eastAsia="Arial" w:hAnsi="Arial"/>
          <w:color w:val="3D2B10"/>
          <w:sz w:val="22"/>
          <w:szCs w:val="22"/>
        </w:rPr>
        <w:t xml:space="preserve">The three strategies in Group 4 cover the three most important hedging contexts:</w:t>
      </w:r>
    </w:p>
    <w:p>
      <w:pPr>
        <w:spacing w:after="0" w:before="30"/>
      </w:pPr>
      <w:r>
        <w:t xml:space="preserve"/>
      </w:r>
    </w:p>
    <w:p>
      <w:pPr>
        <w:pStyle w:val="ListParagraph"/>
        <w:numPr>
          <w:ilvl w:val="0"/>
          <w:numId w:val="2"/>
        </w:numPr>
        <w:spacing w:after="50" w:before="50"/>
      </w:pPr>
      <w:r>
        <w:rPr>
          <w:rFonts w:ascii="Arial" w:cs="Arial" w:eastAsia="Arial" w:hAnsi="Arial"/>
          <w:b/>
          <w:bCs/>
          <w:color w:val="2D2416"/>
          <w:sz w:val="22"/>
          <w:szCs w:val="22"/>
        </w:rPr>
        <w:t xml:space="preserve">HEDGE-01: </w:t>
      </w:r>
      <w:r>
        <w:rPr>
          <w:rFonts w:ascii="Arial" w:cs="Arial" w:eastAsia="Arial" w:hAnsi="Arial"/>
          <w:color w:val="3D2B10"/>
          <w:sz w:val="22"/>
          <w:szCs w:val="22"/>
        </w:rPr>
        <w:t xml:space="preserve">Protecting a cryptocurrency portfolio against adverse price movements using correlated Polymarket positions.</w:t>
      </w:r>
    </w:p>
    <w:p>
      <w:pPr>
        <w:pStyle w:val="ListParagraph"/>
        <w:numPr>
          <w:ilvl w:val="0"/>
          <w:numId w:val="2"/>
        </w:numPr>
        <w:spacing w:after="50" w:before="50"/>
      </w:pPr>
      <w:r>
        <w:rPr>
          <w:rFonts w:ascii="Arial" w:cs="Arial" w:eastAsia="Arial" w:hAnsi="Arial"/>
          <w:b/>
          <w:bCs/>
          <w:color w:val="2D2416"/>
          <w:sz w:val="22"/>
          <w:szCs w:val="22"/>
        </w:rPr>
        <w:t xml:space="preserve">HEDGE-02: </w:t>
      </w:r>
      <w:r>
        <w:rPr>
          <w:rFonts w:ascii="Arial" w:cs="Arial" w:eastAsia="Arial" w:hAnsi="Arial"/>
          <w:color w:val="3D2B10"/>
          <w:sz w:val="22"/>
          <w:szCs w:val="22"/>
        </w:rPr>
        <w:t xml:space="preserve">Protecting a business or investment portfolio against specific adverse external events — functioning as a binary insurance policy.</w:t>
      </w:r>
    </w:p>
    <w:p>
      <w:pPr>
        <w:pStyle w:val="ListParagraph"/>
        <w:numPr>
          <w:ilvl w:val="0"/>
          <w:numId w:val="2"/>
        </w:numPr>
        <w:spacing w:after="50" w:before="50"/>
      </w:pPr>
      <w:r>
        <w:rPr>
          <w:rFonts w:ascii="Arial" w:cs="Arial" w:eastAsia="Arial" w:hAnsi="Arial"/>
          <w:b/>
          <w:bCs/>
          <w:color w:val="2D2416"/>
          <w:sz w:val="22"/>
          <w:szCs w:val="22"/>
        </w:rPr>
        <w:t xml:space="preserve">HEDGE-03: </w:t>
      </w:r>
      <w:r>
        <w:rPr>
          <w:rFonts w:ascii="Arial" w:cs="Arial" w:eastAsia="Arial" w:hAnsi="Arial"/>
          <w:color w:val="3D2B10"/>
          <w:sz w:val="22"/>
          <w:szCs w:val="22"/>
        </w:rPr>
        <w:t xml:space="preserve">Dynamic, adjustable hedging that lets a trader manage exposure in real time as new information changes the probability landscape.</w:t>
      </w:r>
    </w:p>
    <w:p>
      <w:pPr>
        <w:spacing w:after="0" w:before="60"/>
      </w:pPr>
      <w:r>
        <w:t xml:space="preserve"/>
      </w:r>
    </w:p>
    <w:p>
      <w:pPr>
        <w:spacing w:after="60" w:before="60"/>
      </w:pPr>
      <w:r>
        <w:rPr>
          <w:rFonts w:ascii="Arial" w:cs="Arial" w:eastAsia="Arial" w:hAnsi="Arial"/>
          <w:b/>
          <w:bCs/>
          <w:color w:val="2D2416"/>
          <w:sz w:val="22"/>
          <w:szCs w:val="22"/>
        </w:rPr>
        <w:t xml:space="preserve">Why does this matter to investors and businesses? </w:t>
      </w:r>
      <w:r>
        <w:rPr>
          <w:rFonts w:ascii="Arial" w:cs="Arial" w:eastAsia="Arial" w:hAnsi="Arial"/>
          <w:color w:val="3D2B10"/>
          <w:sz w:val="22"/>
          <w:szCs w:val="22"/>
        </w:rPr>
        <w:t xml:space="preserve">Because event-driven risk is one of the most difficult categories of risk to hedge with traditional instruments. A pharmaceutical company cannot buy a "FDA rejection futures contract." A political campaign cannot purchase a "regulatory reversal option." A </w:t>
      </w:r>
      <w:r>
        <w:rPr>
          <w:rFonts w:ascii="Arial" w:cs="Arial" w:eastAsia="Arial" w:hAnsi="Arial"/>
          <w:color w:val="3D2B10"/>
          <w:sz w:val="22"/>
          <w:szCs w:val="22"/>
        </w:rPr>
        <w:t xml:space="preserve">real estate developer cannot trade a "hurricane insurance derivative" on a specific property in a specific county. But all three of these entities </w:t>
      </w:r>
      <w:r>
        <w:rPr>
          <w:rFonts w:ascii="Arial" w:cs="Arial" w:eastAsia="Arial" w:hAnsi="Arial"/>
          <w:b/>
          <w:bCs/>
          <w:color w:val="2D2416"/>
          <w:sz w:val="22"/>
          <w:szCs w:val="22"/>
        </w:rPr>
        <w:t xml:space="preserve">can take positions on Polymarket</w:t>
      </w:r>
      <w:r>
        <w:rPr>
          <w:rFonts w:ascii="Arial" w:cs="Arial" w:eastAsia="Arial" w:hAnsi="Arial"/>
          <w:color w:val="3D2B10"/>
          <w:sz w:val="22"/>
          <w:szCs w:val="22"/>
        </w:rPr>
        <w:t xml:space="preserve"> markets that are precisely correlated with their risk exposure. This is a genuine financial innovation — the ability to hedge </w:t>
      </w:r>
    </w:p>
    <w:p>
      <w:pPr>
        <w:spacing w:after="60" w:before="60"/>
      </w:pPr>
      <w:r>
        <w:rPr>
          <w:rFonts w:ascii="Arial" w:cs="Arial" w:eastAsia="Arial" w:hAnsi="Arial"/>
          <w:color w:val="3D2B10"/>
          <w:sz w:val="22"/>
          <w:szCs w:val="22"/>
        </w:rPr>
        <w:t xml:space="preserve">idiosyncratic, event-specific risk at low cost and with complete transparency.</w:t>
      </w:r>
    </w:p>
    <w:p>
      <w:pPr>
        <w:spacing w:after="0" w:before="50"/>
      </w:pPr>
      <w:r>
        <w:t xml:space="preserve"/>
      </w:r>
    </w:p>
    <w:p>
      <w:pPr>
        <w:spacing w:after="60" w:before="60"/>
      </w:pPr>
      <w:r>
        <w:rPr>
          <w:rFonts w:ascii="Arial" w:cs="Arial" w:eastAsia="Arial" w:hAnsi="Arial"/>
          <w:b/>
          <w:bCs/>
          <w:color w:val="2D2416"/>
          <w:sz w:val="22"/>
          <w:szCs w:val="22"/>
        </w:rPr>
        <w:t xml:space="preserve">The core trade-off: </w:t>
      </w:r>
      <w:r>
        <w:rPr>
          <w:rFonts w:ascii="Arial" w:cs="Arial" w:eastAsia="Arial" w:hAnsi="Arial"/>
          <w:color w:val="3D2B10"/>
          <w:sz w:val="22"/>
          <w:szCs w:val="22"/>
        </w:rPr>
        <w:t xml:space="preserve">every hedge has a cost. In HEDGE-01 and HEDGE-02, the cost is the capital deployed in the protective position — which can be lost entirely if the adverse event does not occur. In HEDGE-03, the cost is the reduced upside on the primary position. The strategic question is never </w:t>
      </w:r>
      <w:r>
        <w:rPr>
          <w:rFonts w:ascii="Arial" w:cs="Arial" w:eastAsia="Arial" w:hAnsi="Arial"/>
          <w:i/>
          <w:iCs/>
          <w:color w:val="6B4E28"/>
          <w:sz w:val="22"/>
          <w:szCs w:val="22"/>
        </w:rPr>
        <w:t xml:space="preserve">"should I hedge?"</w:t>
      </w:r>
      <w:r>
        <w:rPr>
          <w:rFonts w:ascii="Arial" w:cs="Arial" w:eastAsia="Arial" w:hAnsi="Arial"/>
          <w:color w:val="3D2B10"/>
          <w:sz w:val="22"/>
          <w:szCs w:val="22"/>
        </w:rPr>
        <w:t xml:space="preserve"> but </w:t>
      </w:r>
      <w:r>
        <w:rPr>
          <w:rFonts w:ascii="Arial" w:cs="Arial" w:eastAsia="Arial" w:hAnsi="Arial"/>
          <w:i/>
          <w:iCs/>
          <w:color w:val="6B4E28"/>
          <w:sz w:val="22"/>
          <w:szCs w:val="22"/>
        </w:rPr>
        <w:t xml:space="preserve">"how much protection is worth how much premium?"</w:t>
      </w:r>
      <w:r>
        <w:rPr>
          <w:rFonts w:ascii="Arial" w:cs="Arial" w:eastAsia="Arial" w:hAnsi="Arial"/>
          <w:color w:val="3D2B10"/>
          <w:sz w:val="22"/>
          <w:szCs w:val="22"/>
        </w:rPr>
        <w:t xml:space="preserve"> This guide provides the analytical framework to answer that question for each strategy.</w:t>
      </w:r>
    </w:p>
    <w:p>
      <w:pPr>
        <w:spacing w:after="0" w:before="40"/>
      </w:pPr>
      <w:r>
        <w:t xml:space="preserve"/>
      </w:r>
    </w:p>
    <w:p>
      <w:pPr>
        <w:pBdr>
          <w:left w:val="single" w:color="E89030" w:sz="16"/>
        </w:pBdr>
        <w:shd w:fill="FDECD8" w:val="clear"/>
        <w:spacing w:after="50" w:before="80"/>
        <w:ind w:left="200"/>
      </w:pPr>
      <w:r>
        <w:rPr>
          <w:rFonts w:ascii="Courier New" w:cs="Courier New" w:eastAsia="Courier New" w:hAnsi="Courier New"/>
          <w:b/>
          <w:bCs/>
          <w:color w:val="E89030"/>
          <w:sz w:val="16"/>
          <w:szCs w:val="16"/>
        </w:rPr>
        <w:t xml:space="preserve">DISCLAIMER</w:t>
      </w:r>
    </w:p>
    <w:p>
      <w:pPr>
        <w:pBdr>
          <w:left w:val="single" w:color="E89030" w:sz="16"/>
        </w:pBdr>
        <w:shd w:fill="FDECD8" w:val="clear"/>
        <w:spacing w:after="40" w:before="40"/>
        <w:ind w:left="200"/>
      </w:pPr>
      <w:r>
        <w:rPr>
          <w:rFonts w:ascii="Arial" w:cs="Arial" w:eastAsia="Arial" w:hAnsi="Arial"/>
          <w:color w:val="3D2B10"/>
          <w:sz w:val="21"/>
          <w:szCs w:val="21"/>
        </w:rPr>
        <w:t xml:space="preserve">This document is technical and educational. It does not constitute investment or financial advice. Hedging strategies involve real capital at risk. The effectiveness of any hedge depends on the correlation between the hedged asset and the Polymarket position, which is never guaranteed.</w:t>
      </w:r>
    </w:p>
    <w:p>
      <w:pPr>
        <w:pBdr>
          <w:left w:val="single" w:color="E89030" w:sz="16"/>
        </w:pBdr>
        <w:shd w:fill="FDECD8" w:val="clear"/>
        <w:spacing w:after="60" w:before="40"/>
        <w:ind w:left="200"/>
      </w:pPr>
      <w:r>
        <w:t xml:space="preserve"/>
      </w:r>
    </w:p>
    <w:p>
      <w:pPr>
        <w:shd w:fill="5C3000" w:val="clear"/>
        <w:spacing w:after="100" w:before="360"/>
      </w:pPr>
      <w:r>
        <w:rPr>
          <w:rFonts w:ascii="Courier New" w:cs="Courier New" w:eastAsia="Courier New" w:hAnsi="Courier New"/>
          <w:b/>
          <w:bCs/>
          <w:color w:val="FAE0C0"/>
          <w:sz w:val="17"/>
          <w:szCs w:val="17"/>
        </w:rPr>
        <w:t xml:space="preserve">  // 02 · STRATEGY DETAILS  </w:t>
      </w:r>
    </w:p>
    <w:p>
      <w:pPr>
        <w:pStyle w:val="Heading1"/>
        <w:pBdr>
          <w:bottom w:val="single" w:color="F0B060" w:sz="8" w:space="3"/>
        </w:pBdr>
        <w:spacing w:after="140" w:before="280"/>
      </w:pPr>
      <w:r>
        <w:rPr>
          <w:rFonts w:ascii="Arial" w:cs="Arial" w:eastAsia="Arial" w:hAnsi="Arial"/>
          <w:b/>
          <w:bCs/>
          <w:color w:val="2D2416"/>
          <w:sz w:val="40"/>
          <w:szCs w:val="40"/>
        </w:rPr>
        <w:t xml:space="preserve">How to Execute Each Hedging Strategy</w:t>
      </w:r>
    </w:p>
    <w:p>
      <w:pPr>
        <w:spacing w:after="60" w:before="60"/>
      </w:pPr>
      <w:r>
        <w:rPr>
          <w:rFonts w:ascii="Arial" w:cs="Arial" w:eastAsia="Arial" w:hAnsi="Arial"/>
          <w:color w:val="3D2B10"/>
          <w:sz w:val="22"/>
          <w:szCs w:val="22"/>
        </w:rPr>
        <w:t xml:space="preserve">Each of the three Group 4 strategies is presented with complete execution logic, scenario analysis, and a verified numerical example.</w:t>
      </w:r>
    </w:p>
    <w:p>
      <w:pPr>
        <w:shd w:fill="8B4513" w:val="clear"/>
        <w:spacing w:after="0" w:before="320"/>
      </w:pPr>
      <w:r>
        <w:rPr>
          <w:rFonts w:ascii="Courier New" w:cs="Courier New" w:eastAsia="Courier New" w:hAnsi="Courier New"/>
          <w:b/>
          <w:bCs/>
          <w:color w:val="FAE0C0"/>
          <w:sz w:val="22"/>
          <w:szCs w:val="22"/>
        </w:rPr>
        <w:t xml:space="preserve">  HEDGE-01  </w:t>
      </w:r>
      <w:r>
        <w:rPr>
          <w:rFonts w:ascii="Arial" w:cs="Arial" w:eastAsia="Arial" w:hAnsi="Arial"/>
          <w:b/>
          <w:bCs/>
          <w:color w:val="FFFFFF"/>
          <w:sz w:val="28"/>
          <w:szCs w:val="28"/>
        </w:rPr>
        <w:t xml:space="preserve">  Crypto Portfolio Hedge</w:t>
      </w:r>
    </w:p>
    <w:p>
      <w:pPr>
        <w:shd w:fill="FAE0C0" w:val="clear"/>
        <w:spacing w:after="120" w:before="0"/>
      </w:pPr>
      <w:r>
        <w:rPr>
          <w:rFonts w:ascii="Arial" w:cs="Arial" w:eastAsia="Arial" w:hAnsi="Arial"/>
          <w:i/>
          <w:iCs/>
          <w:color w:val="5C3000"/>
          <w:sz w:val="20"/>
          <w:szCs w:val="20"/>
        </w:rPr>
        <w:t xml:space="preserve">  Use Polymarket NO positions to reduce downside volatility on Bitcoin or altcoin holdings.</w:t>
      </w:r>
    </w:p>
    <w:p>
      <w:pPr>
        <w:spacing w:after="60" w:before="60"/>
      </w:pPr>
      <w:r>
        <w:rPr>
          <w:rFonts w:ascii="Arial" w:cs="Arial" w:eastAsia="Arial" w:hAnsi="Arial"/>
          <w:color w:val="3D2B10"/>
          <w:sz w:val="22"/>
          <w:szCs w:val="22"/>
        </w:rPr>
        <w:t xml:space="preserve">This strategy applies the classical delta-hedging framework to a crypto portfolio. The investor holds a </w:t>
      </w:r>
      <w:r>
        <w:rPr>
          <w:rFonts w:ascii="Arial" w:cs="Arial" w:eastAsia="Arial" w:hAnsi="Arial"/>
          <w:b/>
          <w:bCs/>
          <w:color w:val="2D2416"/>
          <w:sz w:val="22"/>
          <w:szCs w:val="22"/>
        </w:rPr>
        <w:t xml:space="preserve">long position in Bitcoin (or another cryptocurrency)</w:t>
      </w:r>
      <w:r>
        <w:rPr>
          <w:rFonts w:ascii="Arial" w:cs="Arial" w:eastAsia="Arial" w:hAnsi="Arial"/>
          <w:color w:val="3D2B10"/>
          <w:sz w:val="22"/>
          <w:szCs w:val="22"/>
        </w:rPr>
        <w:t xml:space="preserve"> and simultaneously buys </w:t>
      </w:r>
      <w:r>
        <w:rPr>
          <w:rFonts w:ascii="Arial" w:cs="Arial" w:eastAsia="Arial" w:hAnsi="Arial"/>
          <w:b/>
          <w:bCs/>
          <w:color w:val="2D2416"/>
          <w:sz w:val="22"/>
          <w:szCs w:val="22"/>
        </w:rPr>
        <w:t xml:space="preserve">NO tokens</w:t>
      </w:r>
      <w:r>
        <w:rPr>
          <w:rFonts w:ascii="Arial" w:cs="Arial" w:eastAsia="Arial" w:hAnsi="Arial"/>
          <w:color w:val="3D2B10"/>
          <w:sz w:val="22"/>
          <w:szCs w:val="22"/>
        </w:rPr>
        <w:t xml:space="preserve"> on a Polymarket market tied to a bullish price target for that same asset — for example, "Will BTC reach $100,000 in Q1 2026?" If BTC falls and the price target is not reached, the NO position pays $1.00, partially compensating the loss. If BTC rises and hits the target, the NO position expires worthless — a small cost relative to the large gain on the underlying asset.</w:t>
      </w:r>
    </w:p>
    <w:p>
      <w:pPr>
        <w:spacing w:after="0" w:before="40"/>
      </w:pPr>
      <w:r>
        <w:t xml:space="preserve"/>
      </w:r>
    </w:p>
    <w:p>
      <w:pPr>
        <w:spacing w:after="60" w:before="60"/>
      </w:pPr>
      <w:r>
        <w:rPr>
          <w:rFonts w:ascii="Arial" w:cs="Arial" w:eastAsia="Arial" w:hAnsi="Arial"/>
          <w:color w:val="3D2B10"/>
          <w:sz w:val="22"/>
          <w:szCs w:val="22"/>
        </w:rPr>
        <w:t xml:space="preserve">The key insight is that the hedge does not need to fully cover the loss to be valuable. A hedge that converts a </w:t>
      </w:r>
      <w:r>
        <w:rPr>
          <w:rFonts w:ascii="Arial" w:cs="Arial" w:eastAsia="Arial" w:hAnsi="Arial"/>
          <w:b/>
          <w:bCs/>
          <w:color w:val="2D2416"/>
          <w:sz w:val="22"/>
          <w:szCs w:val="22"/>
        </w:rPr>
        <w:t xml:space="preserve">−25% drawdown into a −12% drawdown</w:t>
      </w:r>
      <w:r>
        <w:rPr>
          <w:rFonts w:ascii="Arial" w:cs="Arial" w:eastAsia="Arial" w:hAnsi="Arial"/>
          <w:color w:val="3D2B10"/>
          <w:sz w:val="22"/>
          <w:szCs w:val="22"/>
        </w:rPr>
        <w:t xml:space="preserve"> is worth its premium even if it also reduces the maximum upside from +40% to +34%. </w:t>
      </w:r>
      <w:r>
        <w:rPr>
          <w:rFonts w:ascii="Arial" w:cs="Arial" w:eastAsia="Arial" w:hAnsi="Arial"/>
          <w:b/>
          <w:bCs/>
          <w:color w:val="2D2416"/>
          <w:sz w:val="22"/>
          <w:szCs w:val="22"/>
        </w:rPr>
        <w:t xml:space="preserve">Reducing volatility has direct portfolio value</w:t>
      </w:r>
      <w:r>
        <w:rPr>
          <w:rFonts w:ascii="Arial" w:cs="Arial" w:eastAsia="Arial" w:hAnsi="Arial"/>
          <w:color w:val="3D2B10"/>
          <w:sz w:val="22"/>
          <w:szCs w:val="22"/>
        </w:rPr>
        <w:t xml:space="preserve"> — it lowers the probability of forced liquidation, improves risk-adjusted return metrics, and allows larger position sizing on the primary asset.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7D0A0" w:sz="1"/>
              <w:left w:val="single" w:color="F7D0A0" w:sz="1"/>
              <w:bottom w:val="single" w:color="F7D0A0" w:sz="1"/>
              <w:right w:val="single" w:color="F7D0A0" w:sz="1"/>
            </w:tcBorders>
            <w:shd w:fill="FDECD8" w:val="clear"/>
            <w:tcMar>
              <w:top w:type="dxa" w:w="140"/>
              <w:left w:type="dxa" w:w="180"/>
              <w:bottom w:type="dxa" w:w="140"/>
              <w:right w:type="dxa" w:w="180"/>
            </w:tcMar>
          </w:tcPr>
          <w:p>
            <w:pPr>
              <w:spacing w:after="100" w:before="40"/>
            </w:pPr>
            <w:r>
              <w:rPr>
                <w:rFonts w:ascii="Courier New" w:cs="Courier New" w:eastAsia="Courier New" w:hAnsi="Courier New"/>
                <w:b/>
                <w:bCs/>
                <w:color w:val="8B4513"/>
                <w:sz w:val="17"/>
                <w:szCs w:val="17"/>
              </w:rPr>
              <w:t xml:space="preserve">EXECUTION STEPS</w:t>
            </w:r>
          </w:p>
          <w:p>
            <w:pPr>
              <w:spacing w:after="55" w:before="55"/>
            </w:pPr>
            <w:r>
              <w:rPr>
                <w:rFonts w:ascii="Courier New" w:cs="Courier New" w:eastAsia="Courier New" w:hAnsi="Courier New"/>
                <w:b/>
                <w:bCs/>
                <w:color w:val="C8700A"/>
                <w:sz w:val="20"/>
                <w:szCs w:val="20"/>
              </w:rPr>
              <w:t xml:space="preserve">1.  </w:t>
            </w:r>
            <w:r>
              <w:rPr>
                <w:rFonts w:ascii="Arial" w:cs="Arial" w:eastAsia="Arial" w:hAnsi="Arial"/>
                <w:color w:val="3D2B10"/>
                <w:sz w:val="21"/>
                <w:szCs w:val="21"/>
              </w:rPr>
              <w:t xml:space="preserve">Identify your BTC (or altcoin) holding size and your maximum acceptable loss threshold. Example: $10,000 BTC position, max acceptable loss = $2,500 (25%).</w:t>
            </w:r>
          </w:p>
          <w:p>
            <w:pPr>
              <w:spacing w:after="55" w:before="55"/>
            </w:pPr>
            <w:r>
              <w:rPr>
                <w:rFonts w:ascii="Courier New" w:cs="Courier New" w:eastAsia="Courier New" w:hAnsi="Courier New"/>
                <w:b/>
                <w:bCs/>
                <w:color w:val="C8700A"/>
                <w:sz w:val="20"/>
                <w:szCs w:val="20"/>
              </w:rPr>
              <w:t xml:space="preserve">2.  </w:t>
            </w:r>
            <w:r>
              <w:rPr>
                <w:rFonts w:ascii="Arial" w:cs="Arial" w:eastAsia="Arial" w:hAnsi="Arial"/>
                <w:color w:val="3D2B10"/>
                <w:sz w:val="21"/>
                <w:szCs w:val="21"/>
              </w:rPr>
              <w:t xml:space="preserve">Search Polymarket for active markets tied to price targets of your crypto asset. Focus on markets with resolution dates within your investment horizon.</w:t>
            </w:r>
          </w:p>
          <w:p>
            <w:pPr>
              <w:spacing w:after="55" w:before="55"/>
            </w:pPr>
            <w:r>
              <w:rPr>
                <w:rFonts w:ascii="Courier New" w:cs="Courier New" w:eastAsia="Courier New" w:hAnsi="Courier New"/>
                <w:b/>
                <w:bCs/>
                <w:color w:val="C8700A"/>
                <w:sz w:val="20"/>
                <w:szCs w:val="20"/>
              </w:rPr>
              <w:t xml:space="preserve">3.  </w:t>
            </w:r>
            <w:r>
              <w:rPr>
                <w:rFonts w:ascii="Arial" w:cs="Arial" w:eastAsia="Arial" w:hAnsi="Arial"/>
                <w:color w:val="3D2B10"/>
                <w:sz w:val="21"/>
                <w:szCs w:val="21"/>
              </w:rPr>
              <w:t xml:space="preserve">Evaluate the market price of NO tokens. The NO price should reflect a probability of the target NOT being reached — compare this to your own assessment.</w:t>
            </w:r>
          </w:p>
          <w:p>
            <w:pPr>
              <w:spacing w:after="55" w:before="55"/>
            </w:pPr>
            <w:r>
              <w:rPr>
                <w:rFonts w:ascii="Courier New" w:cs="Courier New" w:eastAsia="Courier New" w:hAnsi="Courier New"/>
                <w:b/>
                <w:bCs/>
                <w:color w:val="C8700A"/>
                <w:sz w:val="20"/>
                <w:szCs w:val="20"/>
              </w:rPr>
              <w:t xml:space="preserve">4.  </w:t>
            </w:r>
            <w:r>
              <w:rPr>
                <w:rFonts w:ascii="Arial" w:cs="Arial" w:eastAsia="Arial" w:hAnsi="Arial"/>
                <w:color w:val="3D2B10"/>
                <w:sz w:val="21"/>
                <w:szCs w:val="21"/>
              </w:rPr>
              <w:t xml:space="preserve">Calculate your hedge ratio: (Desired protection amount) / (NO payout per token). Example: protect $2,500 of a $10,000 position -&gt; buy 2,500 NO tokens.</w:t>
            </w:r>
          </w:p>
          <w:p>
            <w:pPr>
              <w:spacing w:after="55" w:before="55"/>
            </w:pPr>
            <w:r>
              <w:rPr>
                <w:rFonts w:ascii="Courier New" w:cs="Courier New" w:eastAsia="Courier New" w:hAnsi="Courier New"/>
                <w:b/>
                <w:bCs/>
                <w:color w:val="C8700A"/>
                <w:sz w:val="20"/>
                <w:szCs w:val="20"/>
              </w:rPr>
              <w:t xml:space="preserve">5.  </w:t>
            </w:r>
            <w:r>
              <w:rPr>
                <w:rFonts w:ascii="Arial" w:cs="Arial" w:eastAsia="Arial" w:hAnsi="Arial"/>
                <w:color w:val="3D2B10"/>
                <w:sz w:val="21"/>
                <w:szCs w:val="21"/>
              </w:rPr>
              <w:t xml:space="preserve">Execute the NO purchase. This is your insurance premium — size it at 3–8% of your crypto position value.</w:t>
            </w:r>
          </w:p>
          <w:p>
            <w:pPr>
              <w:spacing w:after="55" w:before="55"/>
            </w:pPr>
            <w:r>
              <w:rPr>
                <w:rFonts w:ascii="Courier New" w:cs="Courier New" w:eastAsia="Courier New" w:hAnsi="Courier New"/>
                <w:b/>
                <w:bCs/>
                <w:color w:val="C8700A"/>
                <w:sz w:val="20"/>
                <w:szCs w:val="20"/>
              </w:rPr>
              <w:t xml:space="preserve">6.  </w:t>
            </w:r>
            <w:r>
              <w:rPr>
                <w:rFonts w:ascii="Arial" w:cs="Arial" w:eastAsia="Arial" w:hAnsi="Arial"/>
                <w:color w:val="3D2B10"/>
                <w:sz w:val="21"/>
                <w:szCs w:val="21"/>
              </w:rPr>
              <w:t xml:space="preserve">Monitor both positions. If BTC drops significantly before resolution, the NO position appreciates. If BTC rises, let the NO expire and capture the crypto gain.</w:t>
            </w:r>
          </w:p>
        </w:tc>
        <w:tc>
          <w:tcPr>
            <w:tcW w:type="dxa" w:w="4680"/>
            <w:tcBorders>
              <w:top w:val="single" w:color="F7D0A0" w:sz="1"/>
              <w:left w:val="single" w:color="F7D0A0" w:sz="1"/>
              <w:bottom w:val="single" w:color="F7D0A0" w:sz="1"/>
              <w:right w:val="single" w:color="F7D0A0" w:sz="1"/>
            </w:tcBorders>
            <w:shd w:fill="FFF8F0" w:val="clear"/>
            <w:tcMar>
              <w:top w:type="dxa" w:w="140"/>
              <w:left w:type="dxa" w:w="180"/>
              <w:bottom w:type="dxa" w:w="140"/>
              <w:right w:type="dxa" w:w="180"/>
            </w:tcMar>
          </w:tcPr>
          <w:p>
            <w:pPr>
              <w:spacing w:after="100" w:before="40"/>
            </w:pPr>
            <w:r>
              <w:rPr>
                <w:rFonts w:ascii="Courier New" w:cs="Courier New" w:eastAsia="Courier New" w:hAnsi="Courier New"/>
                <w:b/>
                <w:bCs/>
                <w:color w:val="A05208"/>
                <w:sz w:val="17"/>
                <w:szCs w:val="17"/>
              </w:rPr>
              <w:t xml:space="preserve">NUMERICAL EXAMPLE</w:t>
            </w:r>
          </w:p>
          <w:p>
            <w:pPr>
              <w:shd w:fill="5C3000" w:val="clear"/>
              <w:spacing w:after="28" w:before="28"/>
            </w:pPr>
            <w:r>
              <w:rPr>
                <w:rFonts w:ascii="Courier New" w:cs="Courier New" w:eastAsia="Courier New" w:hAnsi="Courier New"/>
                <w:b/>
                <w:bCs/>
                <w:color w:val="FAE0C0"/>
                <w:sz w:val="19"/>
                <w:szCs w:val="19"/>
              </w:rPr>
              <w:t xml:space="preserve">  BTC PORTFOLIO HEDGE — Q1 2026</w:t>
            </w:r>
          </w:p>
          <w:p>
            <w:pPr>
              <w:shd w:fill="FFFAF4" w:val="clear"/>
              <w:spacing w:after="28" w:before="28"/>
            </w:pPr>
            <w:r>
              <w:rPr>
                <w:rFonts w:ascii="Courier New" w:cs="Courier New" w:eastAsia="Courier New" w:hAnsi="Courier New"/>
                <w:b w:val="false"/>
                <w:bCs w:val="false"/>
                <w:color w:val="3D2B10"/>
                <w:sz w:val="19"/>
                <w:szCs w:val="19"/>
              </w:rPr>
              <w:t xml:space="preserve">  Primary position: Long 0.125 BTC @ $80,000</w:t>
            </w:r>
          </w:p>
          <w:p>
            <w:pPr>
              <w:shd w:fill="FFFAF4" w:val="clear"/>
              <w:spacing w:after="28" w:before="28"/>
            </w:pPr>
            <w:r>
              <w:rPr>
                <w:rFonts w:ascii="Courier New" w:cs="Courier New" w:eastAsia="Courier New" w:hAnsi="Courier New"/>
                <w:b w:val="false"/>
                <w:bCs w:val="false"/>
                <w:color w:val="3D2B10"/>
                <w:sz w:val="19"/>
                <w:szCs w:val="19"/>
              </w:rPr>
              <w:t xml:space="preserve">  Total BTC exposure: $10,000</w:t>
            </w:r>
          </w:p>
          <w:p>
            <w:pPr>
              <w:shd w:fill="FFFAF4" w:val="clear"/>
              <w:spacing w:after="28" w:before="28"/>
            </w:pPr>
            <w:r>
              <w:rPr>
                <w:rFonts w:ascii="Courier New" w:cs="Courier New" w:eastAsia="Courier New" w:hAnsi="Courier New"/>
                <w:b w:val="false"/>
                <w:bCs w:val="false"/>
                <w:color w:val="3D2B10"/>
                <w:sz w:val="19"/>
                <w:szCs w:val="19"/>
              </w:rPr>
              <w:t xml:space="preserve">  </w:t>
            </w:r>
          </w:p>
          <w:p>
            <w:pPr>
              <w:shd w:fill="F7D0A0" w:val="clear"/>
              <w:spacing w:after="28" w:before="28"/>
            </w:pPr>
            <w:r>
              <w:rPr>
                <w:rFonts w:ascii="Courier New" w:cs="Courier New" w:eastAsia="Courier New" w:hAnsi="Courier New"/>
                <w:b w:val="false"/>
                <w:bCs w:val="false"/>
                <w:color w:val="F7D0A0"/>
                <w:sz w:val="19"/>
                <w:szCs w:val="19"/>
              </w:rPr>
              <w:t xml:space="preserve">  HEDGE SETUP:</w:t>
            </w:r>
          </w:p>
          <w:p>
            <w:pPr>
              <w:shd w:fill="FFFAF4" w:val="clear"/>
              <w:spacing w:after="28" w:before="28"/>
            </w:pPr>
            <w:r>
              <w:rPr>
                <w:rFonts w:ascii="Courier New" w:cs="Courier New" w:eastAsia="Courier New" w:hAnsi="Courier New"/>
                <w:b w:val="false"/>
                <w:bCs w:val="false"/>
                <w:color w:val="3D2B10"/>
                <w:sz w:val="19"/>
                <w:szCs w:val="19"/>
              </w:rPr>
              <w:t xml:space="preserve">  Market: "Will BTC reach $100k in Q1 2026?"</w:t>
            </w:r>
          </w:p>
          <w:p>
            <w:pPr>
              <w:shd w:fill="FFFAF4" w:val="clear"/>
              <w:spacing w:after="28" w:before="28"/>
            </w:pPr>
            <w:r>
              <w:rPr>
                <w:rFonts w:ascii="Courier New" w:cs="Courier New" w:eastAsia="Courier New" w:hAnsi="Courier New"/>
                <w:b w:val="false"/>
                <w:bCs w:val="false"/>
                <w:color w:val="3D2B10"/>
                <w:sz w:val="19"/>
                <w:szCs w:val="19"/>
              </w:rPr>
              <w:t xml:space="preserve">  NO token price: $0.62  (38% implied prob.)</w:t>
            </w:r>
          </w:p>
          <w:p>
            <w:pPr>
              <w:shd w:fill="FFFAF4" w:val="clear"/>
              <w:spacing w:after="28" w:before="28"/>
            </w:pPr>
            <w:r>
              <w:rPr>
                <w:rFonts w:ascii="Courier New" w:cs="Courier New" w:eastAsia="Courier New" w:hAnsi="Courier New"/>
                <w:b w:val="false"/>
                <w:bCs w:val="false"/>
                <w:color w:val="3D2B10"/>
                <w:sz w:val="19"/>
                <w:szCs w:val="19"/>
              </w:rPr>
              <w:t xml:space="preserve">  Hedge size: Buy 1,600 NO tokens</w:t>
            </w:r>
          </w:p>
          <w:p>
            <w:pPr>
              <w:shd w:fill="FFFAF4" w:val="clear"/>
              <w:spacing w:after="28" w:before="28"/>
            </w:pPr>
            <w:r>
              <w:rPr>
                <w:rFonts w:ascii="Courier New" w:cs="Courier New" w:eastAsia="Courier New" w:hAnsi="Courier New"/>
                <w:b w:val="false"/>
                <w:bCs w:val="false"/>
                <w:color w:val="3D2B10"/>
                <w:sz w:val="19"/>
                <w:szCs w:val="19"/>
              </w:rPr>
              <w:t xml:space="preserve">  Insurance premium: 1,600 x $0.62 = $992</w:t>
            </w:r>
          </w:p>
          <w:p>
            <w:pPr>
              <w:shd w:fill="FDECD8" w:val="clear"/>
              <w:spacing w:after="28" w:before="28"/>
            </w:pPr>
            <w:r>
              <w:rPr>
                <w:rFonts w:ascii="Courier New" w:cs="Courier New" w:eastAsia="Courier New" w:hAnsi="Courier New"/>
                <w:b w:val="false"/>
                <w:bCs w:val="false"/>
                <w:color w:val="6B4E28"/>
                <w:sz w:val="19"/>
                <w:szCs w:val="19"/>
              </w:rPr>
              <w:t xml:space="preserve">      (Premium = 9.9% of BTC position)</w:t>
            </w:r>
          </w:p>
          <w:p>
            <w:pPr>
              <w:shd w:fill="FFFAF4" w:val="clear"/>
              <w:spacing w:after="28" w:before="28"/>
            </w:pPr>
            <w:r>
              <w:rPr>
                <w:rFonts w:ascii="Courier New" w:cs="Courier New" w:eastAsia="Courier New" w:hAnsi="Courier New"/>
                <w:b w:val="false"/>
                <w:bCs w:val="false"/>
                <w:color w:val="3D2B10"/>
                <w:sz w:val="19"/>
                <w:szCs w:val="19"/>
              </w:rPr>
              <w:t xml:space="preserve">  </w:t>
            </w:r>
          </w:p>
          <w:p>
            <w:pPr>
              <w:shd w:fill="F7D0A0" w:val="clear"/>
              <w:spacing w:after="28" w:before="28"/>
            </w:pPr>
            <w:r>
              <w:rPr>
                <w:rFonts w:ascii="Courier New" w:cs="Courier New" w:eastAsia="Courier New" w:hAnsi="Courier New"/>
                <w:b w:val="false"/>
                <w:bCs w:val="false"/>
                <w:color w:val="F7D0A0"/>
                <w:sz w:val="19"/>
                <w:szCs w:val="19"/>
              </w:rPr>
              <w:t xml:space="preserve">  SCENARIO A — BTC rises to $96,000:</w:t>
            </w:r>
          </w:p>
          <w:p>
            <w:pPr>
              <w:shd w:fill="E8F5E9" w:val="clear"/>
              <w:spacing w:after="28" w:before="28"/>
            </w:pPr>
            <w:r>
              <w:rPr>
                <w:rFonts w:ascii="Courier New" w:cs="Courier New" w:eastAsia="Courier New" w:hAnsi="Courier New"/>
                <w:b/>
                <w:bCs/>
                <w:color w:val="1B5E20"/>
                <w:sz w:val="19"/>
                <w:szCs w:val="19"/>
              </w:rPr>
              <w:t xml:space="preserve">  BTC gain: ($96k-$80k) x 0.125 = +$2,000</w:t>
            </w:r>
          </w:p>
          <w:p>
            <w:pPr>
              <w:shd w:fill="FBE9E7" w:val="clear"/>
              <w:spacing w:after="28" w:before="28"/>
            </w:pPr>
            <w:r>
              <w:rPr>
                <w:rFonts w:ascii="Courier New" w:cs="Courier New" w:eastAsia="Courier New" w:hAnsi="Courier New"/>
                <w:b/>
                <w:bCs/>
                <w:color w:val="B71C1C"/>
                <w:sz w:val="19"/>
                <w:szCs w:val="19"/>
              </w:rPr>
              <w:t xml:space="preserve">  NO expires worthless: -$992</w:t>
            </w:r>
          </w:p>
          <w:p>
            <w:pPr>
              <w:shd w:fill="E8F5E9" w:val="clear"/>
              <w:spacing w:after="28" w:before="28"/>
            </w:pPr>
            <w:r>
              <w:rPr>
                <w:rFonts w:ascii="Courier New" w:cs="Courier New" w:eastAsia="Courier New" w:hAnsi="Courier New"/>
                <w:b/>
                <w:bCs/>
                <w:color w:val="1B5E20"/>
                <w:sz w:val="19"/>
                <w:szCs w:val="19"/>
              </w:rPr>
              <w:t xml:space="preserve">  Net portfolio result: +$1,008  (+10.1%)</w:t>
            </w:r>
          </w:p>
          <w:p>
            <w:pPr>
              <w:shd w:fill="FFFAF4" w:val="clear"/>
              <w:spacing w:after="28" w:before="28"/>
            </w:pPr>
            <w:r>
              <w:rPr>
                <w:rFonts w:ascii="Courier New" w:cs="Courier New" w:eastAsia="Courier New" w:hAnsi="Courier New"/>
                <w:b w:val="false"/>
                <w:bCs w:val="false"/>
                <w:color w:val="3D2B10"/>
                <w:sz w:val="19"/>
                <w:szCs w:val="19"/>
              </w:rPr>
              <w:t xml:space="preserve">  </w:t>
            </w:r>
          </w:p>
          <w:p>
            <w:pPr>
              <w:shd w:fill="F7D0A0" w:val="clear"/>
              <w:spacing w:after="28" w:before="28"/>
            </w:pPr>
            <w:r>
              <w:rPr>
                <w:rFonts w:ascii="Courier New" w:cs="Courier New" w:eastAsia="Courier New" w:hAnsi="Courier New"/>
                <w:b w:val="false"/>
                <w:bCs w:val="false"/>
                <w:color w:val="F7D0A0"/>
                <w:sz w:val="19"/>
                <w:szCs w:val="19"/>
              </w:rPr>
              <w:t xml:space="preserve">  SCENARIO B — BTC falls to $58,000:</w:t>
            </w:r>
          </w:p>
          <w:p>
            <w:pPr>
              <w:shd w:fill="FBE9E7" w:val="clear"/>
              <w:spacing w:after="28" w:before="28"/>
            </w:pPr>
            <w:r>
              <w:rPr>
                <w:rFonts w:ascii="Courier New" w:cs="Courier New" w:eastAsia="Courier New" w:hAnsi="Courier New"/>
                <w:b/>
                <w:bCs/>
                <w:color w:val="B71C1C"/>
                <w:sz w:val="19"/>
                <w:szCs w:val="19"/>
              </w:rPr>
              <w:t xml:space="preserve">  BTC loss: ($58k-$80k) x 0.125 = -$2,750</w:t>
            </w:r>
          </w:p>
          <w:p>
            <w:pPr>
              <w:shd w:fill="E8F5E9" w:val="clear"/>
              <w:spacing w:after="28" w:before="28"/>
            </w:pPr>
            <w:r>
              <w:rPr>
                <w:rFonts w:ascii="Courier New" w:cs="Courier New" w:eastAsia="Courier New" w:hAnsi="Courier New"/>
                <w:b/>
                <w:bCs/>
                <w:color w:val="1B5E20"/>
                <w:sz w:val="19"/>
                <w:szCs w:val="19"/>
              </w:rPr>
              <w:t xml:space="preserve">  NO resolves YES: 1,600 x $1.00 = +$1,600</w:t>
            </w:r>
          </w:p>
          <w:p>
            <w:pPr>
              <w:shd w:fill="FDECD8" w:val="clear"/>
              <w:spacing w:after="28" w:before="28"/>
            </w:pPr>
            <w:r>
              <w:rPr>
                <w:rFonts w:ascii="Courier New" w:cs="Courier New" w:eastAsia="Courier New" w:hAnsi="Courier New"/>
                <w:b w:val="false"/>
                <w:bCs w:val="false"/>
                <w:color w:val="C8700A"/>
                <w:sz w:val="19"/>
                <w:szCs w:val="19"/>
              </w:rPr>
              <w:t xml:space="preserve">  Net portfolio result: -$1,150  (-11.5%)</w:t>
            </w:r>
          </w:p>
          <w:p>
            <w:pPr>
              <w:shd w:fill="FBE9E7" w:val="clear"/>
              <w:spacing w:after="28" w:before="28"/>
            </w:pPr>
            <w:r>
              <w:rPr>
                <w:rFonts w:ascii="Courier New" w:cs="Courier New" w:eastAsia="Courier New" w:hAnsi="Courier New"/>
                <w:b/>
                <w:bCs/>
                <w:color w:val="B71C1C"/>
                <w:sz w:val="19"/>
                <w:szCs w:val="19"/>
              </w:rPr>
              <w:t xml:space="preserve">  Without hedge: -$2,750  (-27.5%)</w:t>
            </w:r>
          </w:p>
          <w:p>
            <w:pPr>
              <w:shd w:fill="E0F2F1" w:val="clear"/>
              <w:spacing w:after="28" w:before="28"/>
            </w:pPr>
            <w:r>
              <w:rPr>
                <w:rFonts w:ascii="Courier New" w:cs="Courier New" w:eastAsia="Courier New" w:hAnsi="Courier New"/>
                <w:b/>
                <w:bCs/>
                <w:color w:val="004D40"/>
                <w:sz w:val="19"/>
                <w:szCs w:val="19"/>
              </w:rPr>
              <w:t xml:space="preserve">  HEDGE SAVED: $1,600 (58% loss reduction)</w:t>
            </w:r>
          </w:p>
        </w:tc>
      </w:tr>
    </w:tbl>
    <w:p>
      <w:pPr>
        <w:spacing w:after="0" w:before="40"/>
      </w:pPr>
      <w:r>
        <w:t xml:space="preserve"/>
      </w:r>
    </w:p>
    <w:p>
      <w:pPr>
        <w:pBdr>
          <w:left w:val="single" w:color="B71C1C" w:sz="16"/>
        </w:pBdr>
        <w:shd w:fill="FBE9E7" w:val="clear"/>
        <w:spacing w:after="50" w:before="80"/>
        <w:ind w:left="200"/>
      </w:pPr>
      <w:r>
        <w:rPr>
          <w:rFonts w:ascii="Courier New" w:cs="Courier New" w:eastAsia="Courier New" w:hAnsi="Courier New"/>
          <w:b/>
          <w:bCs/>
          <w:color w:val="B71C1C"/>
          <w:sz w:val="16"/>
          <w:szCs w:val="16"/>
        </w:rPr>
        <w:t xml:space="preserve">HEDGE RATIO CALIBRATION</w:t>
      </w:r>
    </w:p>
    <w:p>
      <w:pPr>
        <w:pBdr>
          <w:left w:val="single" w:color="B71C1C" w:sz="16"/>
        </w:pBdr>
        <w:shd w:fill="FBE9E7" w:val="clear"/>
        <w:spacing w:after="40" w:before="40"/>
        <w:ind w:left="200"/>
      </w:pPr>
      <w:r>
        <w:rPr>
          <w:rFonts w:ascii="Arial" w:cs="Arial" w:eastAsia="Arial" w:hAnsi="Arial"/>
          <w:color w:val="3D2B10"/>
          <w:sz w:val="21"/>
          <w:szCs w:val="21"/>
        </w:rPr>
        <w:t xml:space="preserve">The optimal hedge ratio is not always 1:1. Over-hedging (protecting 100% of the downside) caps all upside. Under-hedging (protecting 10%) provides minimal protection. The standard rule of thumb: hedge 40–60% of the maximum acceptable loss at a premium cost of 5–10% of the portfolio position. Run scenario analysis before committing to verify the net outcomes are acceptable in both favorable and adverse scenarios.</w:t>
      </w:r>
    </w:p>
    <w:p>
      <w:pPr>
        <w:pBdr>
          <w:left w:val="single" w:color="B71C1C" w:sz="16"/>
        </w:pBdr>
        <w:shd w:fill="FBE9E7" w:val="clear"/>
        <w:spacing w:after="60" w:before="40"/>
        <w:ind w:left="200"/>
      </w:pPr>
      <w:r>
        <w:t xml:space="preserve"/>
      </w:r>
    </w:p>
    <w:p>
      <w:pPr>
        <w:shd w:fill="C8700A" w:val="clear"/>
        <w:spacing w:after="0" w:before="320"/>
      </w:pPr>
      <w:r>
        <w:rPr>
          <w:rFonts w:ascii="Courier New" w:cs="Courier New" w:eastAsia="Courier New" w:hAnsi="Courier New"/>
          <w:b/>
          <w:bCs/>
          <w:color w:val="FAE0C0"/>
          <w:sz w:val="22"/>
          <w:szCs w:val="22"/>
        </w:rPr>
        <w:t xml:space="preserve">  HEDGE-02  </w:t>
      </w:r>
      <w:r>
        <w:rPr>
          <w:rFonts w:ascii="Arial" w:cs="Arial" w:eastAsia="Arial" w:hAnsi="Arial"/>
          <w:b/>
          <w:bCs/>
          <w:color w:val="FFFFFF"/>
          <w:sz w:val="28"/>
          <w:szCs w:val="28"/>
        </w:rPr>
        <w:t xml:space="preserve">  Business Event Insurance</w:t>
      </w:r>
    </w:p>
    <w:p>
      <w:pPr>
        <w:shd w:fill="FAE0C0" w:val="clear"/>
        <w:spacing w:after="120" w:before="0"/>
      </w:pPr>
      <w:r>
        <w:rPr>
          <w:rFonts w:ascii="Arial" w:cs="Arial" w:eastAsia="Arial" w:hAnsi="Arial"/>
          <w:i/>
          <w:iCs/>
          <w:color w:val="5C3000"/>
          <w:sz w:val="20"/>
          <w:szCs w:val="20"/>
        </w:rPr>
        <w:t xml:space="preserve">  Buy Polymarket positions against external events that would damage a real business or investment.</w:t>
      </w:r>
    </w:p>
    <w:p>
      <w:pPr>
        <w:spacing w:after="60" w:before="60"/>
      </w:pPr>
      <w:r>
        <w:rPr>
          <w:rFonts w:ascii="Arial" w:cs="Arial" w:eastAsia="Arial" w:hAnsi="Arial"/>
          <w:color w:val="3D2B10"/>
          <w:sz w:val="22"/>
          <w:szCs w:val="22"/>
        </w:rPr>
        <w:t xml:space="preserve">HEDGE-02 is the most strategically innovative application of Polymarket. It allows businesses and investors to purchase </w:t>
      </w:r>
      <w:r>
        <w:rPr>
          <w:rFonts w:ascii="Arial" w:cs="Arial" w:eastAsia="Arial" w:hAnsi="Arial"/>
          <w:b/>
          <w:bCs/>
          <w:color w:val="2D2416"/>
          <w:sz w:val="22"/>
          <w:szCs w:val="22"/>
        </w:rPr>
        <w:t xml:space="preserve">event-specific insurance</w:t>
      </w:r>
      <w:r>
        <w:rPr>
          <w:rFonts w:ascii="Arial" w:cs="Arial" w:eastAsia="Arial" w:hAnsi="Arial"/>
          <w:color w:val="3D2B10"/>
          <w:sz w:val="22"/>
          <w:szCs w:val="22"/>
        </w:rPr>
        <w:t xml:space="preserve"> against risks that have no traditional financial derivative counterpart. A traditional insurance policy covers physical damage. A financial option covers price movements. But neither covers the </w:t>
      </w:r>
      <w:r>
        <w:rPr>
          <w:rFonts w:ascii="Arial" w:cs="Arial" w:eastAsia="Arial" w:hAnsi="Arial"/>
          <w:i/>
          <w:iCs/>
          <w:color w:val="6B4E28"/>
          <w:sz w:val="22"/>
          <w:szCs w:val="22"/>
        </w:rPr>
        <w:t xml:space="preserve">binary outcome of a regulatory decision, an election result, or a central bank announcement.</w:t>
      </w:r>
      <w:r>
        <w:rPr>
          <w:rFonts w:ascii="Arial" w:cs="Arial" w:eastAsia="Arial" w:hAnsi="Arial"/>
          <w:color w:val="3D2B10"/>
          <w:sz w:val="22"/>
          <w:szCs w:val="22"/>
        </w:rPr>
        <w:t xml:space="preserve"> Polymarket does.</w:t>
      </w:r>
    </w:p>
    <w:p>
      <w:pPr>
        <w:spacing w:after="0" w:before="40"/>
      </w:pPr>
      <w:r>
        <w:t xml:space="preserve"/>
      </w:r>
    </w:p>
    <w:p>
      <w:pPr>
        <w:spacing w:after="60" w:before="60"/>
      </w:pPr>
      <w:r>
        <w:rPr>
          <w:rFonts w:ascii="Arial" w:cs="Arial" w:eastAsia="Arial" w:hAnsi="Arial"/>
          <w:color w:val="3D2B10"/>
          <w:sz w:val="22"/>
          <w:szCs w:val="22"/>
        </w:rPr>
        <w:t xml:space="preserve">The mechanics mirror an insurance contract precisely: the </w:t>
      </w:r>
      <w:r>
        <w:rPr>
          <w:rFonts w:ascii="Arial" w:cs="Arial" w:eastAsia="Arial" w:hAnsi="Arial"/>
          <w:b/>
          <w:bCs/>
          <w:color w:val="2D2416"/>
          <w:sz w:val="22"/>
          <w:szCs w:val="22"/>
        </w:rPr>
        <w:t xml:space="preserve">premium</w:t>
      </w:r>
      <w:r>
        <w:rPr>
          <w:rFonts w:ascii="Arial" w:cs="Arial" w:eastAsia="Arial" w:hAnsi="Arial"/>
          <w:color w:val="3D2B10"/>
          <w:sz w:val="22"/>
          <w:szCs w:val="22"/>
        </w:rPr>
        <w:t xml:space="preserve"> is the capital deployed in the Polymarket position (fully at risk). The </w:t>
      </w:r>
      <w:r>
        <w:rPr>
          <w:rFonts w:ascii="Arial" w:cs="Arial" w:eastAsia="Arial" w:hAnsi="Arial"/>
          <w:b/>
          <w:bCs/>
          <w:color w:val="2D2416"/>
          <w:sz w:val="22"/>
          <w:szCs w:val="22"/>
        </w:rPr>
        <w:t xml:space="preserve">coverage amount</w:t>
      </w:r>
      <w:r>
        <w:rPr>
          <w:rFonts w:ascii="Arial" w:cs="Arial" w:eastAsia="Arial" w:hAnsi="Arial"/>
          <w:color w:val="3D2B10"/>
          <w:sz w:val="22"/>
          <w:szCs w:val="22"/>
        </w:rPr>
        <w:t xml:space="preserve"> is the potential payout if the adverse event occurs. The </w:t>
      </w:r>
      <w:r>
        <w:rPr>
          <w:rFonts w:ascii="Arial" w:cs="Arial" w:eastAsia="Arial" w:hAnsi="Arial"/>
          <w:b/>
          <w:bCs/>
          <w:color w:val="2D2416"/>
          <w:sz w:val="22"/>
          <w:szCs w:val="22"/>
        </w:rPr>
        <w:t xml:space="preserve">insured asset</w:t>
      </w:r>
      <w:r>
        <w:rPr>
          <w:rFonts w:ascii="Arial" w:cs="Arial" w:eastAsia="Arial" w:hAnsi="Arial"/>
          <w:color w:val="3D2B10"/>
          <w:sz w:val="22"/>
          <w:szCs w:val="22"/>
        </w:rPr>
        <w:t xml:space="preserve"> is the business value, revenue stream, or investment that would be damaged by the event. The </w:t>
      </w:r>
      <w:r>
        <w:rPr>
          <w:rFonts w:ascii="Arial" w:cs="Arial" w:eastAsia="Arial" w:hAnsi="Arial"/>
          <w:b/>
          <w:bCs/>
          <w:color w:val="2D2416"/>
          <w:sz w:val="22"/>
          <w:szCs w:val="22"/>
        </w:rPr>
        <w:t xml:space="preserve">deductible</w:t>
      </w:r>
      <w:r>
        <w:rPr>
          <w:rFonts w:ascii="Arial" w:cs="Arial" w:eastAsia="Arial" w:hAnsi="Arial"/>
          <w:color w:val="3D2B10"/>
          <w:sz w:val="22"/>
          <w:szCs w:val="22"/>
        </w:rPr>
        <w:t xml:space="preserve"> is the gap between the Polymarket payout and the full business loss — because Polymarket positions typically provide partial, not total, coverage.</w:t>
      </w:r>
    </w:p>
    <w:p>
      <w:pPr>
        <w:spacing w:after="0" w:before="40"/>
      </w:pPr>
      <w:r>
        <w:t xml:space="preserve"/>
      </w:r>
    </w:p>
    <w:p>
      <w:pPr>
        <w:spacing w:after="60" w:before="60"/>
      </w:pPr>
      <w:r>
        <w:rPr>
          <w:rFonts w:ascii="Arial" w:cs="Arial" w:eastAsia="Arial" w:hAnsi="Arial"/>
          <w:color w:val="3D2B10"/>
          <w:sz w:val="22"/>
          <w:szCs w:val="22"/>
        </w:rPr>
        <w:t xml:space="preserve">Critically, this strategy only makes sense when the </w:t>
      </w:r>
      <w:r>
        <w:rPr>
          <w:rFonts w:ascii="Arial" w:cs="Arial" w:eastAsia="Arial" w:hAnsi="Arial"/>
          <w:b/>
          <w:bCs/>
          <w:color w:val="2D2416"/>
          <w:sz w:val="22"/>
          <w:szCs w:val="22"/>
        </w:rPr>
        <w:t xml:space="preserve">Polymarket market is closely correlated with the specific risk</w:t>
      </w:r>
      <w:r>
        <w:rPr>
          <w:rFonts w:ascii="Arial" w:cs="Arial" w:eastAsia="Arial" w:hAnsi="Arial"/>
          <w:color w:val="3D2B10"/>
          <w:sz w:val="22"/>
          <w:szCs w:val="22"/>
        </w:rPr>
        <w:t xml:space="preserve"> being hedged. A market on "Will the Federal Reserve raise rates in Q2?" is a good hedge for a business with significant floating-rate debt exposure. A market on "Will Candidate X win?" is useful for a business whose regulatory environment is materially affected by that election outcome.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7D0A0" w:sz="1"/>
              <w:left w:val="single" w:color="F7D0A0" w:sz="1"/>
              <w:bottom w:val="single" w:color="F7D0A0" w:sz="1"/>
              <w:right w:val="single" w:color="F7D0A0" w:sz="1"/>
            </w:tcBorders>
            <w:shd w:fill="FDECD8" w:val="clear"/>
            <w:tcMar>
              <w:top w:type="dxa" w:w="140"/>
              <w:left w:type="dxa" w:w="180"/>
              <w:bottom w:type="dxa" w:w="140"/>
              <w:right w:type="dxa" w:w="180"/>
            </w:tcMar>
          </w:tcPr>
          <w:p>
            <w:pPr>
              <w:spacing w:after="100" w:before="40"/>
            </w:pPr>
            <w:r>
              <w:rPr>
                <w:rFonts w:ascii="Courier New" w:cs="Courier New" w:eastAsia="Courier New" w:hAnsi="Courier New"/>
                <w:b/>
                <w:bCs/>
                <w:color w:val="C8700A"/>
                <w:sz w:val="17"/>
                <w:szCs w:val="17"/>
              </w:rPr>
              <w:t xml:space="preserve">EXECUTION STEPS</w:t>
            </w:r>
          </w:p>
          <w:p>
            <w:pPr>
              <w:spacing w:after="55" w:before="55"/>
            </w:pPr>
            <w:r>
              <w:rPr>
                <w:rFonts w:ascii="Courier New" w:cs="Courier New" w:eastAsia="Courier New" w:hAnsi="Courier New"/>
                <w:b/>
                <w:bCs/>
                <w:color w:val="C8700A"/>
                <w:sz w:val="20"/>
                <w:szCs w:val="20"/>
              </w:rPr>
              <w:t xml:space="preserve">1.  </w:t>
            </w:r>
            <w:r>
              <w:rPr>
                <w:rFonts w:ascii="Arial" w:cs="Arial" w:eastAsia="Arial" w:hAnsi="Arial"/>
                <w:color w:val="3D2B10"/>
                <w:sz w:val="21"/>
                <w:szCs w:val="21"/>
              </w:rPr>
              <w:t xml:space="preserve">Identify the specific adverse event that would most damage your business or portfolio. Quantify the estimated economic impact: revenue loss, asset write-down, increased cost, etc.</w:t>
            </w:r>
          </w:p>
          <w:p>
            <w:pPr>
              <w:spacing w:after="55" w:before="55"/>
            </w:pPr>
            <w:r>
              <w:rPr>
                <w:rFonts w:ascii="Courier New" w:cs="Courier New" w:eastAsia="Courier New" w:hAnsi="Courier New"/>
                <w:b/>
                <w:bCs/>
                <w:color w:val="C8700A"/>
                <w:sz w:val="20"/>
                <w:szCs w:val="20"/>
              </w:rPr>
              <w:t xml:space="preserve">2.  </w:t>
            </w:r>
            <w:r>
              <w:rPr>
                <w:rFonts w:ascii="Arial" w:cs="Arial" w:eastAsia="Arial" w:hAnsi="Arial"/>
                <w:color w:val="3D2B10"/>
                <w:sz w:val="21"/>
                <w:szCs w:val="21"/>
              </w:rPr>
              <w:t xml:space="preserve">Search Polymarket for a market whose resolution is directly correlated with your adverse event. The correlation should be logical and tight — not tangential.</w:t>
            </w:r>
          </w:p>
          <w:p>
            <w:pPr>
              <w:spacing w:after="55" w:before="55"/>
            </w:pPr>
            <w:r>
              <w:rPr>
                <w:rFonts w:ascii="Courier New" w:cs="Courier New" w:eastAsia="Courier New" w:hAnsi="Courier New"/>
                <w:b/>
                <w:bCs/>
                <w:color w:val="C8700A"/>
                <w:sz w:val="20"/>
                <w:szCs w:val="20"/>
              </w:rPr>
              <w:t xml:space="preserve">3.  </w:t>
            </w:r>
            <w:r>
              <w:rPr>
                <w:rFonts w:ascii="Arial" w:cs="Arial" w:eastAsia="Arial" w:hAnsi="Arial"/>
                <w:color w:val="3D2B10"/>
                <w:sz w:val="21"/>
                <w:szCs w:val="21"/>
              </w:rPr>
              <w:t xml:space="preserve">Evaluate the market's implied probability vs. your own assessment. You are not required to have an edge — you are buying insurance. A "fair" price is acceptable.</w:t>
            </w:r>
          </w:p>
          <w:p>
            <w:pPr>
              <w:spacing w:after="55" w:before="55"/>
            </w:pPr>
            <w:r>
              <w:rPr>
                <w:rFonts w:ascii="Courier New" w:cs="Courier New" w:eastAsia="Courier New" w:hAnsi="Courier New"/>
                <w:b/>
                <w:bCs/>
                <w:color w:val="C8700A"/>
                <w:sz w:val="20"/>
                <w:szCs w:val="20"/>
              </w:rPr>
              <w:t xml:space="preserve">4.  </w:t>
            </w:r>
            <w:r>
              <w:rPr>
                <w:rFonts w:ascii="Arial" w:cs="Arial" w:eastAsia="Arial" w:hAnsi="Arial"/>
                <w:color w:val="3D2B10"/>
                <w:sz w:val="21"/>
                <w:szCs w:val="21"/>
              </w:rPr>
              <w:t xml:space="preserve">Determine your maximum acceptable premium: typically 1–3% of the value of the asset or revenue being protected. Size the position accordingly.</w:t>
            </w:r>
          </w:p>
          <w:p>
            <w:pPr>
              <w:spacing w:after="55" w:before="55"/>
            </w:pPr>
            <w:r>
              <w:rPr>
                <w:rFonts w:ascii="Courier New" w:cs="Courier New" w:eastAsia="Courier New" w:hAnsi="Courier New"/>
                <w:b/>
                <w:bCs/>
                <w:color w:val="C8700A"/>
                <w:sz w:val="20"/>
                <w:szCs w:val="20"/>
              </w:rPr>
              <w:t xml:space="preserve">5.  </w:t>
            </w:r>
            <w:r>
              <w:rPr>
                <w:rFonts w:ascii="Arial" w:cs="Arial" w:eastAsia="Arial" w:hAnsi="Arial"/>
                <w:color w:val="3D2B10"/>
                <w:sz w:val="21"/>
                <w:szCs w:val="21"/>
              </w:rPr>
              <w:t xml:space="preserve">Buy the position that pays out if the adverse event occurs. Document the insurance rationale explicitly — this distinguishes hedging from speculation.</w:t>
            </w:r>
          </w:p>
          <w:p>
            <w:pPr>
              <w:spacing w:after="55" w:before="55"/>
            </w:pPr>
            <w:r>
              <w:rPr>
                <w:rFonts w:ascii="Courier New" w:cs="Courier New" w:eastAsia="Courier New" w:hAnsi="Courier New"/>
                <w:b/>
                <w:bCs/>
                <w:color w:val="C8700A"/>
                <w:sz w:val="20"/>
                <w:szCs w:val="20"/>
              </w:rPr>
              <w:t xml:space="preserve">6.  </w:t>
            </w:r>
            <w:r>
              <w:rPr>
                <w:rFonts w:ascii="Arial" w:cs="Arial" w:eastAsia="Arial" w:hAnsi="Arial"/>
                <w:color w:val="3D2B10"/>
                <w:sz w:val="21"/>
                <w:szCs w:val="21"/>
              </w:rPr>
              <w:t xml:space="preserve">Review the hedge at regular intervals. If your business exposure changes (e.g., you hedge out the loan with a fixed rate), close the Polymarket position.</w:t>
            </w:r>
          </w:p>
        </w:tc>
        <w:tc>
          <w:tcPr>
            <w:tcW w:type="dxa" w:w="4680"/>
            <w:tcBorders>
              <w:top w:val="single" w:color="F7D0A0" w:sz="1"/>
              <w:left w:val="single" w:color="F7D0A0" w:sz="1"/>
              <w:bottom w:val="single" w:color="F7D0A0" w:sz="1"/>
              <w:right w:val="single" w:color="F7D0A0" w:sz="1"/>
            </w:tcBorders>
            <w:shd w:fill="FFF8F0" w:val="clear"/>
            <w:tcMar>
              <w:top w:type="dxa" w:w="140"/>
              <w:left w:type="dxa" w:w="180"/>
              <w:bottom w:type="dxa" w:w="140"/>
              <w:right w:type="dxa" w:w="180"/>
            </w:tcMar>
          </w:tcPr>
          <w:p>
            <w:pPr>
              <w:spacing w:after="100" w:before="40"/>
            </w:pPr>
            <w:r>
              <w:rPr>
                <w:rFonts w:ascii="Courier New" w:cs="Courier New" w:eastAsia="Courier New" w:hAnsi="Courier New"/>
                <w:b/>
                <w:bCs/>
                <w:color w:val="A05208"/>
                <w:sz w:val="17"/>
                <w:szCs w:val="17"/>
              </w:rPr>
              <w:t xml:space="preserve">NUMERICAL EXAMPLE</w:t>
            </w:r>
          </w:p>
          <w:p>
            <w:pPr>
              <w:shd w:fill="5C3000" w:val="clear"/>
              <w:spacing w:after="28" w:before="28"/>
            </w:pPr>
            <w:r>
              <w:rPr>
                <w:rFonts w:ascii="Courier New" w:cs="Courier New" w:eastAsia="Courier New" w:hAnsi="Courier New"/>
                <w:b/>
                <w:bCs/>
                <w:color w:val="FAE0C0"/>
                <w:sz w:val="19"/>
                <w:szCs w:val="19"/>
              </w:rPr>
              <w:t xml:space="preserve">  BUSINESS: Regional hotel chain</w:t>
            </w:r>
          </w:p>
          <w:p>
            <w:pPr>
              <w:shd w:fill="FFFAF4" w:val="clear"/>
              <w:spacing w:after="28" w:before="28"/>
            </w:pPr>
            <w:r>
              <w:rPr>
                <w:rFonts w:ascii="Courier New" w:cs="Courier New" w:eastAsia="Courier New" w:hAnsi="Courier New"/>
                <w:b w:val="false"/>
                <w:bCs w:val="false"/>
                <w:color w:val="3D2B10"/>
                <w:sz w:val="19"/>
                <w:szCs w:val="19"/>
              </w:rPr>
              <w:t xml:space="preserve">  Annual revenue: $2,000,000</w:t>
            </w:r>
          </w:p>
          <w:p>
            <w:pPr>
              <w:shd w:fill="FFFAF4" w:val="clear"/>
              <w:spacing w:after="28" w:before="28"/>
            </w:pPr>
            <w:r>
              <w:rPr>
                <w:rFonts w:ascii="Courier New" w:cs="Courier New" w:eastAsia="Courier New" w:hAnsi="Courier New"/>
                <w:b w:val="false"/>
                <w:bCs w:val="false"/>
                <w:color w:val="3D2B10"/>
                <w:sz w:val="19"/>
                <w:szCs w:val="19"/>
              </w:rPr>
              <w:t xml:space="preserve">  Risk: Hurricane landfall in operating region</w:t>
            </w:r>
          </w:p>
          <w:p>
            <w:pPr>
              <w:shd w:fill="FFFAF4" w:val="clear"/>
              <w:spacing w:after="28" w:before="28"/>
            </w:pPr>
            <w:r>
              <w:rPr>
                <w:rFonts w:ascii="Courier New" w:cs="Courier New" w:eastAsia="Courier New" w:hAnsi="Courier New"/>
                <w:b w:val="false"/>
                <w:bCs w:val="false"/>
                <w:color w:val="3D2B10"/>
                <w:sz w:val="19"/>
                <w:szCs w:val="19"/>
              </w:rPr>
              <w:t xml:space="preserve">  Estimated impact: -$400,000 revenue (20%)</w:t>
            </w:r>
          </w:p>
          <w:p>
            <w:pPr>
              <w:shd w:fill="FFFAF4" w:val="clear"/>
              <w:spacing w:after="28" w:before="28"/>
            </w:pPr>
            <w:r>
              <w:rPr>
                <w:rFonts w:ascii="Courier New" w:cs="Courier New" w:eastAsia="Courier New" w:hAnsi="Courier New"/>
                <w:b w:val="false"/>
                <w:bCs w:val="false"/>
                <w:color w:val="3D2B10"/>
                <w:sz w:val="19"/>
                <w:szCs w:val="19"/>
              </w:rPr>
              <w:t xml:space="preserve">  </w:t>
            </w:r>
          </w:p>
          <w:p>
            <w:pPr>
              <w:shd w:fill="F7D0A0" w:val="clear"/>
              <w:spacing w:after="28" w:before="28"/>
            </w:pPr>
            <w:r>
              <w:rPr>
                <w:rFonts w:ascii="Courier New" w:cs="Courier New" w:eastAsia="Courier New" w:hAnsi="Courier New"/>
                <w:b w:val="false"/>
                <w:bCs w:val="false"/>
                <w:color w:val="F7D0A0"/>
                <w:sz w:val="19"/>
                <w:szCs w:val="19"/>
              </w:rPr>
              <w:t xml:space="preserve">  INSURANCE SETUP:</w:t>
            </w:r>
          </w:p>
          <w:p>
            <w:pPr>
              <w:shd w:fill="FFFAF4" w:val="clear"/>
              <w:spacing w:after="28" w:before="28"/>
            </w:pPr>
            <w:r>
              <w:rPr>
                <w:rFonts w:ascii="Courier New" w:cs="Courier New" w:eastAsia="Courier New" w:hAnsi="Courier New"/>
                <w:b w:val="false"/>
                <w:bCs w:val="false"/>
                <w:color w:val="3D2B10"/>
                <w:sz w:val="19"/>
                <w:szCs w:val="19"/>
              </w:rPr>
              <w:t xml:space="preserve">  Market: "Will Hurricane X make landfall</w:t>
            </w:r>
          </w:p>
          <w:p>
            <w:pPr>
              <w:shd w:fill="FFFAF4" w:val="clear"/>
              <w:spacing w:after="28" w:before="28"/>
            </w:pPr>
            <w:r>
              <w:rPr>
                <w:rFonts w:ascii="Courier New" w:cs="Courier New" w:eastAsia="Courier New" w:hAnsi="Courier New"/>
                <w:b w:val="false"/>
                <w:bCs w:val="false"/>
                <w:color w:val="3D2B10"/>
                <w:sz w:val="19"/>
                <w:szCs w:val="19"/>
              </w:rPr>
              <w:t xml:space="preserve">           in Florida in Q3 2026?"</w:t>
            </w:r>
          </w:p>
          <w:p>
            <w:pPr>
              <w:shd w:fill="FFFAF4" w:val="clear"/>
              <w:spacing w:after="28" w:before="28"/>
            </w:pPr>
            <w:r>
              <w:rPr>
                <w:rFonts w:ascii="Courier New" w:cs="Courier New" w:eastAsia="Courier New" w:hAnsi="Courier New"/>
                <w:b w:val="false"/>
                <w:bCs w:val="false"/>
                <w:color w:val="3D2B10"/>
                <w:sz w:val="19"/>
                <w:szCs w:val="19"/>
              </w:rPr>
              <w:t xml:space="preserve">  YES token price: $0.35 (35% implied prob.)</w:t>
            </w:r>
          </w:p>
          <w:p>
            <w:pPr>
              <w:shd w:fill="FFFAF4" w:val="clear"/>
              <w:spacing w:after="28" w:before="28"/>
            </w:pPr>
            <w:r>
              <w:rPr>
                <w:rFonts w:ascii="Courier New" w:cs="Courier New" w:eastAsia="Courier New" w:hAnsi="Courier New"/>
                <w:b w:val="false"/>
                <w:bCs w:val="false"/>
                <w:color w:val="3D2B10"/>
                <w:sz w:val="19"/>
                <w:szCs w:val="19"/>
              </w:rPr>
              <w:t xml:space="preserve">  Insurance budget: 2% of revenue = $40,000</w:t>
            </w:r>
          </w:p>
          <w:p>
            <w:pPr>
              <w:shd w:fill="FFFAF4" w:val="clear"/>
              <w:spacing w:after="28" w:before="28"/>
            </w:pPr>
            <w:r>
              <w:rPr>
                <w:rFonts w:ascii="Courier New" w:cs="Courier New" w:eastAsia="Courier New" w:hAnsi="Courier New"/>
                <w:b w:val="false"/>
                <w:bCs w:val="false"/>
                <w:color w:val="3D2B10"/>
                <w:sz w:val="19"/>
                <w:szCs w:val="19"/>
              </w:rPr>
              <w:t xml:space="preserve">  Buy: 114,285 YES tokens @ $0.35 = $40,000</w:t>
            </w:r>
          </w:p>
          <w:p>
            <w:pPr>
              <w:shd w:fill="FFFAF4" w:val="clear"/>
              <w:spacing w:after="28" w:before="28"/>
            </w:pPr>
            <w:r>
              <w:rPr>
                <w:rFonts w:ascii="Courier New" w:cs="Courier New" w:eastAsia="Courier New" w:hAnsi="Courier New"/>
                <w:b w:val="false"/>
                <w:bCs w:val="false"/>
                <w:color w:val="3D2B10"/>
                <w:sz w:val="19"/>
                <w:szCs w:val="19"/>
              </w:rPr>
              <w:t xml:space="preserve">  </w:t>
            </w:r>
          </w:p>
          <w:p>
            <w:pPr>
              <w:shd w:fill="F7D0A0" w:val="clear"/>
              <w:spacing w:after="28" w:before="28"/>
            </w:pPr>
            <w:r>
              <w:rPr>
                <w:rFonts w:ascii="Courier New" w:cs="Courier New" w:eastAsia="Courier New" w:hAnsi="Courier New"/>
                <w:b w:val="false"/>
                <w:bCs w:val="false"/>
                <w:color w:val="F7D0A0"/>
                <w:sz w:val="19"/>
                <w:szCs w:val="19"/>
              </w:rPr>
              <w:t xml:space="preserve">  SCENARIO A — No landfall (event does not occur):</w:t>
            </w:r>
          </w:p>
          <w:p>
            <w:pPr>
              <w:shd w:fill="E8F5E9" w:val="clear"/>
              <w:spacing w:after="28" w:before="28"/>
            </w:pPr>
            <w:r>
              <w:rPr>
                <w:rFonts w:ascii="Courier New" w:cs="Courier New" w:eastAsia="Courier New" w:hAnsi="Courier New"/>
                <w:b/>
                <w:bCs/>
                <w:color w:val="1B5E20"/>
                <w:sz w:val="19"/>
                <w:szCs w:val="19"/>
              </w:rPr>
              <w:t xml:space="preserve">  Business revenue: Normal $2,000,000</w:t>
            </w:r>
          </w:p>
          <w:p>
            <w:pPr>
              <w:shd w:fill="FBE9E7" w:val="clear"/>
              <w:spacing w:after="28" w:before="28"/>
            </w:pPr>
            <w:r>
              <w:rPr>
                <w:rFonts w:ascii="Courier New" w:cs="Courier New" w:eastAsia="Courier New" w:hAnsi="Courier New"/>
                <w:b/>
                <w:bCs/>
                <w:color w:val="B71C1C"/>
                <w:sz w:val="19"/>
                <w:szCs w:val="19"/>
              </w:rPr>
              <w:t xml:space="preserve">  YES tokens expire worthless: -$40,000</w:t>
            </w:r>
          </w:p>
          <w:p>
            <w:pPr>
              <w:shd w:fill="E8F5E9" w:val="clear"/>
              <w:spacing w:after="28" w:before="28"/>
            </w:pPr>
            <w:r>
              <w:rPr>
                <w:rFonts w:ascii="Courier New" w:cs="Courier New" w:eastAsia="Courier New" w:hAnsi="Courier New"/>
                <w:b/>
                <w:bCs/>
                <w:color w:val="1B5E20"/>
                <w:sz w:val="19"/>
                <w:szCs w:val="19"/>
              </w:rPr>
              <w:t xml:space="preserve">  Net: $2,000,000 - $40,000 = $1,960,000</w:t>
            </w:r>
          </w:p>
          <w:p>
            <w:pPr>
              <w:shd w:fill="FDECD8" w:val="clear"/>
              <w:spacing w:after="28" w:before="28"/>
            </w:pPr>
            <w:r>
              <w:rPr>
                <w:rFonts w:ascii="Courier New" w:cs="Courier New" w:eastAsia="Courier New" w:hAnsi="Courier New"/>
                <w:b w:val="false"/>
                <w:bCs w:val="false"/>
                <w:color w:val="C8700A"/>
                <w:sz w:val="19"/>
                <w:szCs w:val="19"/>
              </w:rPr>
              <w:t xml:space="preserve">  (2% "insurance premium" cost — acceptable)</w:t>
            </w:r>
          </w:p>
          <w:p>
            <w:pPr>
              <w:shd w:fill="FFFAF4" w:val="clear"/>
              <w:spacing w:after="28" w:before="28"/>
            </w:pPr>
            <w:r>
              <w:rPr>
                <w:rFonts w:ascii="Courier New" w:cs="Courier New" w:eastAsia="Courier New" w:hAnsi="Courier New"/>
                <w:b w:val="false"/>
                <w:bCs w:val="false"/>
                <w:color w:val="3D2B10"/>
                <w:sz w:val="19"/>
                <w:szCs w:val="19"/>
              </w:rPr>
              <w:t xml:space="preserve">  </w:t>
            </w:r>
          </w:p>
          <w:p>
            <w:pPr>
              <w:shd w:fill="F7D0A0" w:val="clear"/>
              <w:spacing w:after="28" w:before="28"/>
            </w:pPr>
            <w:r>
              <w:rPr>
                <w:rFonts w:ascii="Courier New" w:cs="Courier New" w:eastAsia="Courier New" w:hAnsi="Courier New"/>
                <w:b w:val="false"/>
                <w:bCs w:val="false"/>
                <w:color w:val="F7D0A0"/>
                <w:sz w:val="19"/>
                <w:szCs w:val="19"/>
              </w:rPr>
              <w:t xml:space="preserve">  SCENARIO B — Landfall occurs:</w:t>
            </w:r>
          </w:p>
          <w:p>
            <w:pPr>
              <w:shd w:fill="FBE9E7" w:val="clear"/>
              <w:spacing w:after="28" w:before="28"/>
            </w:pPr>
            <w:r>
              <w:rPr>
                <w:rFonts w:ascii="Courier New" w:cs="Courier New" w:eastAsia="Courier New" w:hAnsi="Courier New"/>
                <w:b/>
                <w:bCs/>
                <w:color w:val="B71C1C"/>
                <w:sz w:val="19"/>
                <w:szCs w:val="19"/>
              </w:rPr>
              <w:t xml:space="preserve">  Business revenue loss: -$400,000</w:t>
            </w:r>
          </w:p>
          <w:p>
            <w:pPr>
              <w:shd w:fill="E8F5E9" w:val="clear"/>
              <w:spacing w:after="28" w:before="28"/>
            </w:pPr>
            <w:r>
              <w:rPr>
                <w:rFonts w:ascii="Courier New" w:cs="Courier New" w:eastAsia="Courier New" w:hAnsi="Courier New"/>
                <w:b/>
                <w:bCs/>
                <w:color w:val="1B5E20"/>
                <w:sz w:val="19"/>
                <w:szCs w:val="19"/>
              </w:rPr>
              <w:t xml:space="preserve">  YES resolves: 114,285 x $1.00 = +$114,285</w:t>
            </w:r>
          </w:p>
          <w:p>
            <w:pPr>
              <w:shd w:fill="FDECD8" w:val="clear"/>
              <w:spacing w:after="28" w:before="28"/>
            </w:pPr>
            <w:r>
              <w:rPr>
                <w:rFonts w:ascii="Courier New" w:cs="Courier New" w:eastAsia="Courier New" w:hAnsi="Courier New"/>
                <w:b w:val="false"/>
                <w:bCs w:val="false"/>
                <w:color w:val="C8700A"/>
                <w:sz w:val="19"/>
                <w:szCs w:val="19"/>
              </w:rPr>
              <w:t xml:space="preserve">  Net recovery: -$400,000 + $114,285</w:t>
            </w:r>
          </w:p>
          <w:p>
            <w:pPr>
              <w:shd w:fill="E0F2F1" w:val="clear"/>
              <w:spacing w:after="28" w:before="28"/>
            </w:pPr>
            <w:r>
              <w:rPr>
                <w:rFonts w:ascii="Courier New" w:cs="Courier New" w:eastAsia="Courier New" w:hAnsi="Courier New"/>
                <w:b/>
                <w:bCs/>
                <w:color w:val="004D40"/>
                <w:sz w:val="19"/>
                <w:szCs w:val="19"/>
              </w:rPr>
              <w:t xml:space="preserve">  = -$285,715 (vs. -$400,000 unhedged)</w:t>
            </w:r>
          </w:p>
          <w:p>
            <w:pPr>
              <w:shd w:fill="E0F2F1" w:val="clear"/>
              <w:spacing w:after="28" w:before="28"/>
            </w:pPr>
            <w:r>
              <w:rPr>
                <w:rFonts w:ascii="Courier New" w:cs="Courier New" w:eastAsia="Courier New" w:hAnsi="Courier New"/>
                <w:b/>
                <w:bCs/>
                <w:color w:val="004D40"/>
                <w:sz w:val="19"/>
                <w:szCs w:val="19"/>
              </w:rPr>
              <w:t xml:space="preserve">  COVERAGE RATIO: 28.6% of loss recovered</w:t>
            </w:r>
          </w:p>
        </w:tc>
      </w:tr>
    </w:tbl>
    <w:p>
      <w:pPr>
        <w:spacing w:after="0" w:before="40"/>
      </w:pPr>
      <w:r>
        <w:t xml:space="preserve"/>
      </w:r>
    </w:p>
    <w:p>
      <w:pPr>
        <w:pBdr>
          <w:left w:val="single" w:color="E89030" w:sz="16"/>
        </w:pBdr>
        <w:shd w:fill="FDECD8" w:val="clear"/>
        <w:spacing w:after="50" w:before="80"/>
        <w:ind w:left="200"/>
      </w:pPr>
      <w:r>
        <w:rPr>
          <w:rFonts w:ascii="Courier New" w:cs="Courier New" w:eastAsia="Courier New" w:hAnsi="Courier New"/>
          <w:b/>
          <w:bCs/>
          <w:color w:val="E89030"/>
          <w:sz w:val="16"/>
          <w:szCs w:val="16"/>
        </w:rPr>
        <w:t xml:space="preserve">COVERAGE GAP MANAGEMENT</w:t>
      </w:r>
    </w:p>
    <w:p>
      <w:pPr>
        <w:pBdr>
          <w:left w:val="single" w:color="E89030" w:sz="16"/>
        </w:pBdr>
        <w:shd w:fill="FDECD8" w:val="clear"/>
        <w:spacing w:after="40" w:before="40"/>
        <w:ind w:left="200"/>
      </w:pPr>
      <w:r>
        <w:rPr>
          <w:rFonts w:ascii="Arial" w:cs="Arial" w:eastAsia="Arial" w:hAnsi="Arial"/>
          <w:color w:val="3D2B10"/>
          <w:sz w:val="21"/>
          <w:szCs w:val="21"/>
        </w:rPr>
        <w:t xml:space="preserve">In the example above, the hedge covers only 28.6% of the potential loss — not 100%. This is expected and acceptable. Full coverage would require deploying $140,000 in premium (7% of revenue) which may exceed the cost-benefit threshold. The goal is not full coverage but meaningful risk reduction within a defined budget. For critical risks, consider layering multiple Polymarket markets that correlate with the same adverse event to increase coverage percentage.</w:t>
      </w:r>
    </w:p>
    <w:p>
      <w:pPr>
        <w:pBdr>
          <w:left w:val="single" w:color="E89030" w:sz="16"/>
        </w:pBdr>
        <w:shd w:fill="FDECD8" w:val="clear"/>
        <w:spacing w:after="60" w:before="40"/>
        <w:ind w:left="200"/>
      </w:pPr>
      <w:r>
        <w:t xml:space="preserve"/>
      </w:r>
    </w:p>
    <w:p>
      <w:pPr>
        <w:shd w:fill="5C3D00" w:val="clear"/>
        <w:spacing w:after="0" w:before="320"/>
      </w:pPr>
      <w:r>
        <w:rPr>
          <w:rFonts w:ascii="Courier New" w:cs="Courier New" w:eastAsia="Courier New" w:hAnsi="Courier New"/>
          <w:b/>
          <w:bCs/>
          <w:color w:val="FAE0C0"/>
          <w:sz w:val="22"/>
          <w:szCs w:val="22"/>
        </w:rPr>
        <w:t xml:space="preserve">  HEDGE-03  </w:t>
      </w:r>
      <w:r>
        <w:rPr>
          <w:rFonts w:ascii="Arial" w:cs="Arial" w:eastAsia="Arial" w:hAnsi="Arial"/>
          <w:b/>
          <w:bCs/>
          <w:color w:val="FFFFFF"/>
          <w:sz w:val="28"/>
          <w:szCs w:val="28"/>
        </w:rPr>
        <w:t xml:space="preserve">  Dynamic Adjustable Hedge</w:t>
      </w:r>
    </w:p>
    <w:p>
      <w:pPr>
        <w:shd w:fill="FAE0C0" w:val="clear"/>
        <w:spacing w:after="120" w:before="0"/>
      </w:pPr>
      <w:r>
        <w:rPr>
          <w:rFonts w:ascii="Arial" w:cs="Arial" w:eastAsia="Arial" w:hAnsi="Arial"/>
          <w:i/>
          <w:iCs/>
          <w:color w:val="5C3000"/>
          <w:sz w:val="20"/>
          <w:szCs w:val="20"/>
        </w:rPr>
        <w:t xml:space="preserve">  Combine a primary trading position with a live counter-hedge that adjusts as probabilities evolve.</w:t>
      </w:r>
    </w:p>
    <w:p>
      <w:pPr>
        <w:spacing w:after="60" w:before="60"/>
      </w:pPr>
      <w:r>
        <w:rPr>
          <w:rFonts w:ascii="Arial" w:cs="Arial" w:eastAsia="Arial" w:hAnsi="Arial"/>
          <w:color w:val="3D2B10"/>
          <w:sz w:val="22"/>
          <w:szCs w:val="22"/>
        </w:rPr>
        <w:t xml:space="preserve">HEDGE-03 is the most technically sophisticated strategy in Group 4. It combines a </w:t>
      </w:r>
      <w:r>
        <w:rPr>
          <w:rFonts w:ascii="Arial" w:cs="Arial" w:eastAsia="Arial" w:hAnsi="Arial"/>
          <w:b/>
          <w:bCs/>
          <w:color w:val="2D2416"/>
          <w:sz w:val="22"/>
          <w:szCs w:val="22"/>
        </w:rPr>
        <w:t xml:space="preserve">primary active trading position</w:t>
      </w:r>
      <w:r>
        <w:rPr>
          <w:rFonts w:ascii="Arial" w:cs="Arial" w:eastAsia="Arial" w:hAnsi="Arial"/>
          <w:color w:val="3D2B10"/>
          <w:sz w:val="22"/>
          <w:szCs w:val="22"/>
        </w:rPr>
        <w:t xml:space="preserve"> (typically from TRADE-01 or TRADE-02) with a </w:t>
      </w:r>
      <w:r>
        <w:rPr>
          <w:rFonts w:ascii="Arial" w:cs="Arial" w:eastAsia="Arial" w:hAnsi="Arial"/>
          <w:b/>
          <w:bCs/>
          <w:color w:val="2D2416"/>
          <w:sz w:val="22"/>
          <w:szCs w:val="22"/>
        </w:rPr>
        <w:t xml:space="preserve">simultaneous counter-hedge</w:t>
      </w:r>
      <w:r>
        <w:rPr>
          <w:rFonts w:ascii="Arial" w:cs="Arial" w:eastAsia="Arial" w:hAnsi="Arial"/>
          <w:color w:val="3D2B10"/>
          <w:sz w:val="22"/>
          <w:szCs w:val="22"/>
        </w:rPr>
        <w:t xml:space="preserve"> in the opposite direction or a correlated market. The key differentiator from static hedging is that the hedge ratio is </w:t>
      </w:r>
      <w:r>
        <w:rPr>
          <w:rFonts w:ascii="Arial" w:cs="Arial" w:eastAsia="Arial" w:hAnsi="Arial"/>
          <w:b/>
          <w:bCs/>
          <w:color w:val="2D2416"/>
          <w:sz w:val="22"/>
          <w:szCs w:val="22"/>
        </w:rPr>
        <w:t xml:space="preserve">dynamically adjusted</w:t>
      </w:r>
      <w:r>
        <w:rPr>
          <w:rFonts w:ascii="Arial" w:cs="Arial" w:eastAsia="Arial" w:hAnsi="Arial"/>
          <w:color w:val="3D2B10"/>
          <w:sz w:val="22"/>
          <w:szCs w:val="22"/>
        </w:rPr>
        <w:t xml:space="preserve"> as the event evolves and new information changes the probability landscape — without ever closing the primary position.</w:t>
      </w:r>
    </w:p>
    <w:p>
      <w:pPr>
        <w:spacing w:after="0" w:before="40"/>
      </w:pPr>
      <w:r>
        <w:t xml:space="preserve"/>
      </w:r>
    </w:p>
    <w:p>
      <w:pPr>
        <w:spacing w:after="60" w:before="60"/>
      </w:pPr>
      <w:r>
        <w:rPr>
          <w:rFonts w:ascii="Arial" w:cs="Arial" w:eastAsia="Arial" w:hAnsi="Arial"/>
          <w:color w:val="3D2B10"/>
          <w:sz w:val="22"/>
          <w:szCs w:val="22"/>
        </w:rPr>
        <w:t xml:space="preserve">The strategic value is twofold. First, it </w:t>
      </w:r>
      <w:r>
        <w:rPr>
          <w:rFonts w:ascii="Arial" w:cs="Arial" w:eastAsia="Arial" w:hAnsi="Arial"/>
          <w:b/>
          <w:bCs/>
          <w:color w:val="2D2416"/>
          <w:sz w:val="22"/>
          <w:szCs w:val="22"/>
        </w:rPr>
        <w:t xml:space="preserve">avoids the transaction cost</w:t>
      </w:r>
      <w:r>
        <w:rPr>
          <w:rFonts w:ascii="Arial" w:cs="Arial" w:eastAsia="Arial" w:hAnsi="Arial"/>
          <w:color w:val="3D2B10"/>
          <w:sz w:val="22"/>
          <w:szCs w:val="22"/>
        </w:rPr>
        <w:t xml:space="preserve"> of closing and reopening a position when conviction changes — each trade incurs spread and fees. Second, it allows the trader to </w:t>
      </w:r>
      <w:r>
        <w:rPr>
          <w:rFonts w:ascii="Arial" w:cs="Arial" w:eastAsia="Arial" w:hAnsi="Arial"/>
          <w:b/>
          <w:bCs/>
          <w:color w:val="2D2416"/>
          <w:sz w:val="22"/>
          <w:szCs w:val="22"/>
        </w:rPr>
        <w:t xml:space="preserve">manage risk exposure in real time</w:t>
      </w:r>
      <w:r>
        <w:rPr>
          <w:rFonts w:ascii="Arial" w:cs="Arial" w:eastAsia="Arial" w:hAnsi="Arial"/>
          <w:color w:val="3D2B10"/>
          <w:sz w:val="22"/>
          <w:szCs w:val="22"/>
        </w:rPr>
        <w:t xml:space="preserve"> by scaling the counter-hedge up or down, effectively changing the net position size without touching the primary leg. A trader with 1,000 YES tokens who adds 400 NO tokens has a net exposure equivalent to 600 YES tokens — at a fraction of the spread cost of selling and rebuying.</w:t>
      </w:r>
    </w:p>
    <w:p>
      <w:pPr>
        <w:spacing w:after="0" w:before="40"/>
      </w:pPr>
      <w:r>
        <w:t xml:space="preserve"/>
      </w:r>
    </w:p>
    <w:p>
      <w:pPr>
        <w:spacing w:after="60" w:before="60"/>
      </w:pPr>
      <w:r>
        <w:rPr>
          <w:rFonts w:ascii="Arial" w:cs="Arial" w:eastAsia="Arial" w:hAnsi="Arial"/>
          <w:color w:val="3D2B10"/>
          <w:sz w:val="22"/>
          <w:szCs w:val="22"/>
        </w:rPr>
        <w:t xml:space="preserve">This strategy is particularly valuable in </w:t>
      </w:r>
      <w:r>
        <w:rPr>
          <w:rFonts w:ascii="Arial" w:cs="Arial" w:eastAsia="Arial" w:hAnsi="Arial"/>
          <w:b/>
          <w:bCs/>
          <w:color w:val="2D2416"/>
          <w:sz w:val="22"/>
          <w:szCs w:val="22"/>
        </w:rPr>
        <w:t xml:space="preserve">long-duration markets</w:t>
      </w:r>
      <w:r>
        <w:rPr>
          <w:rFonts w:ascii="Arial" w:cs="Arial" w:eastAsia="Arial" w:hAnsi="Arial"/>
          <w:color w:val="3D2B10"/>
          <w:sz w:val="22"/>
          <w:szCs w:val="22"/>
        </w:rPr>
        <w:t xml:space="preserve"> (weeks to months) where new information regularly updates the probability. An election market, a long-term regulatory timeline, or a sports season — all involve events where the probability landscape shifts significantly before resolution, and where a static position would require repeated costly adjustments.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7D0A0" w:sz="1"/>
              <w:left w:val="single" w:color="F7D0A0" w:sz="1"/>
              <w:bottom w:val="single" w:color="F7D0A0" w:sz="1"/>
              <w:right w:val="single" w:color="F7D0A0" w:sz="1"/>
            </w:tcBorders>
            <w:shd w:fill="FDECD8" w:val="clear"/>
            <w:tcMar>
              <w:top w:type="dxa" w:w="140"/>
              <w:left w:type="dxa" w:w="180"/>
              <w:bottom w:type="dxa" w:w="140"/>
              <w:right w:type="dxa" w:w="180"/>
            </w:tcMar>
          </w:tcPr>
          <w:p>
            <w:pPr>
              <w:spacing w:after="100" w:before="40"/>
            </w:pPr>
            <w:r>
              <w:rPr>
                <w:rFonts w:ascii="Courier New" w:cs="Courier New" w:eastAsia="Courier New" w:hAnsi="Courier New"/>
                <w:b/>
                <w:bCs/>
                <w:color w:val="5C3D00"/>
                <w:sz w:val="17"/>
                <w:szCs w:val="17"/>
              </w:rPr>
              <w:t xml:space="preserve">EXECUTION STEPS</w:t>
            </w:r>
          </w:p>
          <w:p>
            <w:pPr>
              <w:spacing w:after="55" w:before="55"/>
            </w:pPr>
            <w:r>
              <w:rPr>
                <w:rFonts w:ascii="Courier New" w:cs="Courier New" w:eastAsia="Courier New" w:hAnsi="Courier New"/>
                <w:b/>
                <w:bCs/>
                <w:color w:val="C8700A"/>
                <w:sz w:val="20"/>
                <w:szCs w:val="20"/>
              </w:rPr>
              <w:t xml:space="preserve">1.  </w:t>
            </w:r>
            <w:r>
              <w:rPr>
                <w:rFonts w:ascii="Arial" w:cs="Arial" w:eastAsia="Arial" w:hAnsi="Arial"/>
                <w:color w:val="3D2B10"/>
                <w:sz w:val="21"/>
                <w:szCs w:val="21"/>
              </w:rPr>
              <w:t xml:space="preserve">Establish a primary directional position using TRADE-01 or TRADE-02 logic. Document the entry thesis and the conviction level (e.g., "YES at 0.28 with strong momentum signal, high conviction").</w:t>
            </w:r>
          </w:p>
          <w:p>
            <w:pPr>
              <w:spacing w:after="55" w:before="55"/>
            </w:pPr>
            <w:r>
              <w:rPr>
                <w:rFonts w:ascii="Courier New" w:cs="Courier New" w:eastAsia="Courier New" w:hAnsi="Courier New"/>
                <w:b/>
                <w:bCs/>
                <w:color w:val="C8700A"/>
                <w:sz w:val="20"/>
                <w:szCs w:val="20"/>
              </w:rPr>
              <w:t xml:space="preserve">2.  </w:t>
            </w:r>
            <w:r>
              <w:rPr>
                <w:rFonts w:ascii="Arial" w:cs="Arial" w:eastAsia="Arial" w:hAnsi="Arial"/>
                <w:color w:val="3D2B10"/>
                <w:sz w:val="21"/>
                <w:szCs w:val="21"/>
              </w:rPr>
              <w:t xml:space="preserve">Define your hedge trigger: the condition under which you will add counter-hedge tokens. Example: "If YES price falls below 0.20 or new adverse information emerges."</w:t>
            </w:r>
          </w:p>
          <w:p>
            <w:pPr>
              <w:spacing w:after="55" w:before="55"/>
            </w:pPr>
            <w:r>
              <w:rPr>
                <w:rFonts w:ascii="Courier New" w:cs="Courier New" w:eastAsia="Courier New" w:hAnsi="Courier New"/>
                <w:b/>
                <w:bCs/>
                <w:color w:val="C8700A"/>
                <w:sz w:val="20"/>
                <w:szCs w:val="20"/>
              </w:rPr>
              <w:t xml:space="preserve">3.  </w:t>
            </w:r>
            <w:r>
              <w:rPr>
                <w:rFonts w:ascii="Arial" w:cs="Arial" w:eastAsia="Arial" w:hAnsi="Arial"/>
                <w:color w:val="3D2B10"/>
                <w:sz w:val="21"/>
                <w:szCs w:val="21"/>
              </w:rPr>
              <w:t xml:space="preserve">Monitor the market continuously. When conviction weakens due to new information (not just price noise), calculate the appropriate counter-hedge size.</w:t>
            </w:r>
          </w:p>
          <w:p>
            <w:pPr>
              <w:spacing w:after="55" w:before="55"/>
            </w:pPr>
            <w:r>
              <w:rPr>
                <w:rFonts w:ascii="Courier New" w:cs="Courier New" w:eastAsia="Courier New" w:hAnsi="Courier New"/>
                <w:b/>
                <w:bCs/>
                <w:color w:val="C8700A"/>
                <w:sz w:val="20"/>
                <w:szCs w:val="20"/>
              </w:rPr>
              <w:t xml:space="preserve">4.  </w:t>
            </w:r>
            <w:r>
              <w:rPr>
                <w:rFonts w:ascii="Arial" w:cs="Arial" w:eastAsia="Arial" w:hAnsi="Arial"/>
                <w:color w:val="3D2B10"/>
                <w:sz w:val="21"/>
                <w:szCs w:val="21"/>
              </w:rPr>
              <w:t xml:space="preserve">Counter-hedge formula: Desired net exposure = (Primary tokens) - (Counter-hedge tokens). Add counter-hedge tokens to reduce net exposure without closing primary.</w:t>
            </w:r>
          </w:p>
          <w:p>
            <w:pPr>
              <w:spacing w:after="55" w:before="55"/>
            </w:pPr>
            <w:r>
              <w:rPr>
                <w:rFonts w:ascii="Courier New" w:cs="Courier New" w:eastAsia="Courier New" w:hAnsi="Courier New"/>
                <w:b/>
                <w:bCs/>
                <w:color w:val="C8700A"/>
                <w:sz w:val="20"/>
                <w:szCs w:val="20"/>
              </w:rPr>
              <w:t xml:space="preserve">5.  </w:t>
            </w:r>
            <w:r>
              <w:rPr>
                <w:rFonts w:ascii="Arial" w:cs="Arial" w:eastAsia="Arial" w:hAnsi="Arial"/>
                <w:color w:val="3D2B10"/>
                <w:sz w:val="21"/>
                <w:szCs w:val="21"/>
              </w:rPr>
              <w:t xml:space="preserve">As the event approaches resolution and conviction is restored, reduce the counter-hedge by selling counter-hedge tokens — this increases net exposure back toward the primary position.</w:t>
            </w:r>
          </w:p>
          <w:p>
            <w:pPr>
              <w:spacing w:after="55" w:before="55"/>
            </w:pPr>
            <w:r>
              <w:rPr>
                <w:rFonts w:ascii="Courier New" w:cs="Courier New" w:eastAsia="Courier New" w:hAnsi="Courier New"/>
                <w:b/>
                <w:bCs/>
                <w:color w:val="C8700A"/>
                <w:sz w:val="20"/>
                <w:szCs w:val="20"/>
              </w:rPr>
              <w:t xml:space="preserve">6.  </w:t>
            </w:r>
            <w:r>
              <w:rPr>
                <w:rFonts w:ascii="Arial" w:cs="Arial" w:eastAsia="Arial" w:hAnsi="Arial"/>
                <w:color w:val="3D2B10"/>
                <w:sz w:val="21"/>
                <w:szCs w:val="21"/>
              </w:rPr>
              <w:t xml:space="preserve">Exit strategy: close the counter-hedge first if conviction returns, then manage the primary position via TRADE-01/02 exit rules. Never hold both sides through resolution.</w:t>
            </w:r>
          </w:p>
        </w:tc>
        <w:tc>
          <w:tcPr>
            <w:tcW w:type="dxa" w:w="4680"/>
            <w:tcBorders>
              <w:top w:val="single" w:color="F7D0A0" w:sz="1"/>
              <w:left w:val="single" w:color="F7D0A0" w:sz="1"/>
              <w:bottom w:val="single" w:color="F7D0A0" w:sz="1"/>
              <w:right w:val="single" w:color="F7D0A0" w:sz="1"/>
            </w:tcBorders>
            <w:shd w:fill="FFF8F0" w:val="clear"/>
            <w:tcMar>
              <w:top w:type="dxa" w:w="140"/>
              <w:left w:type="dxa" w:w="180"/>
              <w:bottom w:type="dxa" w:w="140"/>
              <w:right w:type="dxa" w:w="180"/>
            </w:tcMar>
          </w:tcPr>
          <w:p>
            <w:pPr>
              <w:spacing w:after="100" w:before="40"/>
            </w:pPr>
            <w:r>
              <w:rPr>
                <w:rFonts w:ascii="Courier New" w:cs="Courier New" w:eastAsia="Courier New" w:hAnsi="Courier New"/>
                <w:b/>
                <w:bCs/>
                <w:color w:val="A05208"/>
                <w:sz w:val="17"/>
                <w:szCs w:val="17"/>
              </w:rPr>
              <w:t xml:space="preserve">NUMERICAL EXAMPLE</w:t>
            </w:r>
          </w:p>
          <w:p>
            <w:pPr>
              <w:shd w:fill="5C3000" w:val="clear"/>
              <w:spacing w:after="28" w:before="28"/>
            </w:pPr>
            <w:r>
              <w:rPr>
                <w:rFonts w:ascii="Courier New" w:cs="Courier New" w:eastAsia="Courier New" w:hAnsi="Courier New"/>
                <w:b/>
                <w:bCs/>
                <w:color w:val="FAE0C0"/>
                <w:sz w:val="19"/>
                <w:szCs w:val="19"/>
              </w:rPr>
              <w:t xml:space="preserve">  Primary: 2,000 YES @ $0.31 (Election market)</w:t>
            </w:r>
          </w:p>
          <w:p>
            <w:pPr>
              <w:shd w:fill="FFFAF4" w:val="clear"/>
              <w:spacing w:after="28" w:before="28"/>
            </w:pPr>
            <w:r>
              <w:rPr>
                <w:rFonts w:ascii="Courier New" w:cs="Courier New" w:eastAsia="Courier New" w:hAnsi="Courier New"/>
                <w:b w:val="false"/>
                <w:bCs w:val="false"/>
                <w:color w:val="3D2B10"/>
                <w:sz w:val="19"/>
                <w:szCs w:val="19"/>
              </w:rPr>
              <w:t xml:space="preserve">  Capital deployed: $620.00</w:t>
            </w:r>
          </w:p>
          <w:p>
            <w:pPr>
              <w:shd w:fill="FFFAF4" w:val="clear"/>
              <w:spacing w:after="28" w:before="28"/>
            </w:pPr>
            <w:r>
              <w:rPr>
                <w:rFonts w:ascii="Courier New" w:cs="Courier New" w:eastAsia="Courier New" w:hAnsi="Courier New"/>
                <w:b w:val="false"/>
                <w:bCs w:val="false"/>
                <w:color w:val="3D2B10"/>
                <w:sz w:val="19"/>
                <w:szCs w:val="19"/>
              </w:rPr>
              <w:t xml:space="preserve">  Thesis: strong momentum signal, high conviction</w:t>
            </w:r>
          </w:p>
          <w:p>
            <w:pPr>
              <w:shd w:fill="FFFAF4" w:val="clear"/>
              <w:spacing w:after="28" w:before="28"/>
            </w:pPr>
            <w:r>
              <w:rPr>
                <w:rFonts w:ascii="Courier New" w:cs="Courier New" w:eastAsia="Courier New" w:hAnsi="Courier New"/>
                <w:b w:val="false"/>
                <w:bCs w:val="false"/>
                <w:color w:val="3D2B10"/>
                <w:sz w:val="19"/>
                <w:szCs w:val="19"/>
              </w:rPr>
              <w:t xml:space="preserve">  </w:t>
            </w:r>
          </w:p>
          <w:p>
            <w:pPr>
              <w:shd w:fill="F7D0A0" w:val="clear"/>
              <w:spacing w:after="28" w:before="28"/>
            </w:pPr>
            <w:r>
              <w:rPr>
                <w:rFonts w:ascii="Courier New" w:cs="Courier New" w:eastAsia="Courier New" w:hAnsi="Courier New"/>
                <w:b w:val="false"/>
                <w:bCs w:val="false"/>
                <w:color w:val="F7D0A0"/>
                <w:sz w:val="19"/>
                <w:szCs w:val="19"/>
              </w:rPr>
              <w:t xml:space="preserve">  WEEK 1 — Conviction intact:</w:t>
            </w:r>
          </w:p>
          <w:p>
            <w:pPr>
              <w:shd w:fill="FFFAF4" w:val="clear"/>
              <w:spacing w:after="28" w:before="28"/>
            </w:pPr>
            <w:r>
              <w:rPr>
                <w:rFonts w:ascii="Courier New" w:cs="Courier New" w:eastAsia="Courier New" w:hAnsi="Courier New"/>
                <w:b w:val="false"/>
                <w:bCs w:val="false"/>
                <w:color w:val="3D2B10"/>
                <w:sz w:val="19"/>
                <w:szCs w:val="19"/>
              </w:rPr>
              <w:t xml:space="preserve">  YES price: $0.31 -&gt; $0.38 -&gt; $0.43</w:t>
            </w:r>
          </w:p>
          <w:p>
            <w:pPr>
              <w:shd w:fill="FFFAF4" w:val="clear"/>
              <w:spacing w:after="28" w:before="28"/>
            </w:pPr>
            <w:r>
              <w:rPr>
                <w:rFonts w:ascii="Courier New" w:cs="Courier New" w:eastAsia="Courier New" w:hAnsi="Courier New"/>
                <w:b w:val="false"/>
                <w:bCs w:val="false"/>
                <w:color w:val="3D2B10"/>
                <w:sz w:val="19"/>
                <w:szCs w:val="19"/>
              </w:rPr>
              <w:t xml:space="preserve">  Unrealized gain: (0.43-0.31) x 2000 = +$240</w:t>
            </w:r>
          </w:p>
          <w:p>
            <w:pPr>
              <w:shd w:fill="FDECD8" w:val="clear"/>
              <w:spacing w:after="28" w:before="28"/>
            </w:pPr>
            <w:r>
              <w:rPr>
                <w:rFonts w:ascii="Courier New" w:cs="Courier New" w:eastAsia="Courier New" w:hAnsi="Courier New"/>
                <w:b w:val="false"/>
                <w:bCs w:val="false"/>
                <w:color w:val="C8700A"/>
                <w:sz w:val="19"/>
                <w:szCs w:val="19"/>
              </w:rPr>
              <w:t xml:space="preserve">  Counter-hedge: None (conviction high)</w:t>
            </w:r>
          </w:p>
          <w:p>
            <w:pPr>
              <w:shd w:fill="FFFAF4" w:val="clear"/>
              <w:spacing w:after="28" w:before="28"/>
            </w:pPr>
            <w:r>
              <w:rPr>
                <w:rFonts w:ascii="Courier New" w:cs="Courier New" w:eastAsia="Courier New" w:hAnsi="Courier New"/>
                <w:b w:val="false"/>
                <w:bCs w:val="false"/>
                <w:color w:val="3D2B10"/>
                <w:sz w:val="19"/>
                <w:szCs w:val="19"/>
              </w:rPr>
              <w:t xml:space="preserve">  </w:t>
            </w:r>
          </w:p>
          <w:p>
            <w:pPr>
              <w:shd w:fill="F7D0A0" w:val="clear"/>
              <w:spacing w:after="28" w:before="28"/>
            </w:pPr>
            <w:r>
              <w:rPr>
                <w:rFonts w:ascii="Courier New" w:cs="Courier New" w:eastAsia="Courier New" w:hAnsi="Courier New"/>
                <w:b w:val="false"/>
                <w:bCs w:val="false"/>
                <w:color w:val="F7D0A0"/>
                <w:sz w:val="19"/>
                <w:szCs w:val="19"/>
              </w:rPr>
              <w:t xml:space="preserve">  WEEK 2 — Adverse news, conviction weakens:</w:t>
            </w:r>
          </w:p>
          <w:p>
            <w:pPr>
              <w:shd w:fill="FFFAF4" w:val="clear"/>
              <w:spacing w:after="28" w:before="28"/>
            </w:pPr>
            <w:r>
              <w:rPr>
                <w:rFonts w:ascii="Courier New" w:cs="Courier New" w:eastAsia="Courier New" w:hAnsi="Courier New"/>
                <w:b w:val="false"/>
                <w:bCs w:val="false"/>
                <w:color w:val="3D2B10"/>
                <w:sz w:val="19"/>
                <w:szCs w:val="19"/>
              </w:rPr>
              <w:t xml:space="preserve">  YES price drops: $0.43 -&gt; $0.36</w:t>
            </w:r>
          </w:p>
          <w:p>
            <w:pPr>
              <w:shd w:fill="FDECD8" w:val="clear"/>
              <w:spacing w:after="28" w:before="28"/>
            </w:pPr>
            <w:r>
              <w:rPr>
                <w:rFonts w:ascii="Courier New" w:cs="Courier New" w:eastAsia="Courier New" w:hAnsi="Courier New"/>
                <w:b w:val="false"/>
                <w:bCs w:val="false"/>
                <w:color w:val="C8700A"/>
                <w:sz w:val="19"/>
                <w:szCs w:val="19"/>
              </w:rPr>
              <w:t xml:space="preserve">  Action: Buy 800 NO tokens @ $0.64</w:t>
            </w:r>
          </w:p>
          <w:p>
            <w:pPr>
              <w:shd w:fill="FFFAF4" w:val="clear"/>
              <w:spacing w:after="28" w:before="28"/>
            </w:pPr>
            <w:r>
              <w:rPr>
                <w:rFonts w:ascii="Courier New" w:cs="Courier New" w:eastAsia="Courier New" w:hAnsi="Courier New"/>
                <w:b w:val="false"/>
                <w:bCs w:val="false"/>
                <w:color w:val="3D2B10"/>
                <w:sz w:val="19"/>
                <w:szCs w:val="19"/>
              </w:rPr>
              <w:t xml:space="preserve">  Counter-hedge cost: 800 x $0.64 = $512</w:t>
            </w:r>
          </w:p>
          <w:p>
            <w:pPr>
              <w:shd w:fill="FFFAF4" w:val="clear"/>
              <w:spacing w:after="28" w:before="28"/>
            </w:pPr>
            <w:r>
              <w:rPr>
                <w:rFonts w:ascii="Courier New" w:cs="Courier New" w:eastAsia="Courier New" w:hAnsi="Courier New"/>
                <w:b w:val="false"/>
                <w:bCs w:val="false"/>
                <w:color w:val="3D2B10"/>
                <w:sz w:val="19"/>
                <w:szCs w:val="19"/>
              </w:rPr>
              <w:t xml:space="preserve">  Net exposure: 2,000 YES - 800 NO</w:t>
            </w:r>
          </w:p>
          <w:p>
            <w:pPr>
              <w:shd w:fill="FDECD8" w:val="clear"/>
              <w:spacing w:after="28" w:before="28"/>
            </w:pPr>
            <w:r>
              <w:rPr>
                <w:rFonts w:ascii="Courier New" w:cs="Courier New" w:eastAsia="Courier New" w:hAnsi="Courier New"/>
                <w:b w:val="false"/>
                <w:bCs w:val="false"/>
                <w:color w:val="6B4E28"/>
                <w:sz w:val="19"/>
                <w:szCs w:val="19"/>
              </w:rPr>
              <w:t xml:space="preserve">      = equivalent to ~1,200 YES tokens</w:t>
            </w:r>
          </w:p>
          <w:p>
            <w:pPr>
              <w:shd w:fill="FFFAF4" w:val="clear"/>
              <w:spacing w:after="28" w:before="28"/>
            </w:pPr>
            <w:r>
              <w:rPr>
                <w:rFonts w:ascii="Courier New" w:cs="Courier New" w:eastAsia="Courier New" w:hAnsi="Courier New"/>
                <w:b w:val="false"/>
                <w:bCs w:val="false"/>
                <w:color w:val="3D2B10"/>
                <w:sz w:val="19"/>
                <w:szCs w:val="19"/>
              </w:rPr>
              <w:t xml:space="preserve">  </w:t>
            </w:r>
          </w:p>
          <w:p>
            <w:pPr>
              <w:shd w:fill="F7D0A0" w:val="clear"/>
              <w:spacing w:after="28" w:before="28"/>
            </w:pPr>
            <w:r>
              <w:rPr>
                <w:rFonts w:ascii="Courier New" w:cs="Courier New" w:eastAsia="Courier New" w:hAnsi="Courier New"/>
                <w:b w:val="false"/>
                <w:bCs w:val="false"/>
                <w:color w:val="F7D0A0"/>
                <w:sz w:val="19"/>
                <w:szCs w:val="19"/>
              </w:rPr>
              <w:t xml:space="preserve">  WEEK 3 — Situation clarifies, bull thesis resumes:</w:t>
            </w:r>
          </w:p>
          <w:p>
            <w:pPr>
              <w:shd w:fill="FFFAF4" w:val="clear"/>
              <w:spacing w:after="28" w:before="28"/>
            </w:pPr>
            <w:r>
              <w:rPr>
                <w:rFonts w:ascii="Courier New" w:cs="Courier New" w:eastAsia="Courier New" w:hAnsi="Courier New"/>
                <w:b w:val="false"/>
                <w:bCs w:val="false"/>
                <w:color w:val="3D2B10"/>
                <w:sz w:val="19"/>
                <w:szCs w:val="19"/>
              </w:rPr>
              <w:t xml:space="preserve">  YES recovers: $0.36 -&gt; $0.44 -&gt; $0.51</w:t>
            </w:r>
          </w:p>
          <w:p>
            <w:pPr>
              <w:shd w:fill="FDECD8" w:val="clear"/>
              <w:spacing w:after="28" w:before="28"/>
            </w:pPr>
            <w:r>
              <w:rPr>
                <w:rFonts w:ascii="Courier New" w:cs="Courier New" w:eastAsia="Courier New" w:hAnsi="Courier New"/>
                <w:b w:val="false"/>
                <w:bCs w:val="false"/>
                <w:color w:val="C8700A"/>
                <w:sz w:val="19"/>
                <w:szCs w:val="19"/>
              </w:rPr>
              <w:t xml:space="preserve">  Action: Sell 800 NO tokens @ $0.47</w:t>
            </w:r>
          </w:p>
          <w:p>
            <w:pPr>
              <w:shd w:fill="FFFAF4" w:val="clear"/>
              <w:spacing w:after="28" w:before="28"/>
            </w:pPr>
            <w:r>
              <w:rPr>
                <w:rFonts w:ascii="Courier New" w:cs="Courier New" w:eastAsia="Courier New" w:hAnsi="Courier New"/>
                <w:b w:val="false"/>
                <w:bCs w:val="false"/>
                <w:color w:val="3D2B10"/>
                <w:sz w:val="19"/>
                <w:szCs w:val="19"/>
              </w:rPr>
              <w:t xml:space="preserve">  NO proceeds: 800 x $0.47 = $376</w:t>
            </w:r>
          </w:p>
          <w:p>
            <w:pPr>
              <w:shd w:fill="FFFAF4" w:val="clear"/>
              <w:spacing w:after="28" w:before="28"/>
            </w:pPr>
            <w:r>
              <w:rPr>
                <w:rFonts w:ascii="Courier New" w:cs="Courier New" w:eastAsia="Courier New" w:hAnsi="Courier New"/>
                <w:b w:val="false"/>
                <w:bCs w:val="false"/>
                <w:color w:val="3D2B10"/>
                <w:sz w:val="19"/>
                <w:szCs w:val="19"/>
              </w:rPr>
              <w:t xml:space="preserve">  NO net cost: $512 - $376 = -$136 (hedge cost)</w:t>
            </w:r>
          </w:p>
          <w:p>
            <w:pPr>
              <w:shd w:fill="FFFAF4" w:val="clear"/>
              <w:spacing w:after="28" w:before="28"/>
            </w:pPr>
            <w:r>
              <w:rPr>
                <w:rFonts w:ascii="Courier New" w:cs="Courier New" w:eastAsia="Courier New" w:hAnsi="Courier New"/>
                <w:b w:val="false"/>
                <w:bCs w:val="false"/>
                <w:color w:val="3D2B10"/>
                <w:sz w:val="19"/>
                <w:szCs w:val="19"/>
              </w:rPr>
              <w:t xml:space="preserve">  </w:t>
            </w:r>
          </w:p>
          <w:p>
            <w:pPr>
              <w:shd w:fill="F7D0A0" w:val="clear"/>
              <w:spacing w:after="28" w:before="28"/>
            </w:pPr>
            <w:r>
              <w:rPr>
                <w:rFonts w:ascii="Courier New" w:cs="Courier New" w:eastAsia="Courier New" w:hAnsi="Courier New"/>
                <w:b w:val="false"/>
                <w:bCs w:val="false"/>
                <w:color w:val="F7D0A0"/>
                <w:sz w:val="19"/>
                <w:szCs w:val="19"/>
              </w:rPr>
              <w:t xml:space="preserve">  FINAL EXIT — Sell 2,000 YES @ $0.51:</w:t>
            </w:r>
          </w:p>
          <w:p>
            <w:pPr>
              <w:shd w:fill="E8F5E9" w:val="clear"/>
              <w:spacing w:after="28" w:before="28"/>
            </w:pPr>
            <w:r>
              <w:rPr>
                <w:rFonts w:ascii="Courier New" w:cs="Courier New" w:eastAsia="Courier New" w:hAnsi="Courier New"/>
                <w:b/>
                <w:bCs/>
                <w:color w:val="1B5E20"/>
                <w:sz w:val="19"/>
                <w:szCs w:val="19"/>
              </w:rPr>
              <w:t xml:space="preserve">  YES proceeds: 2,000 x $0.51 = $1,020</w:t>
            </w:r>
          </w:p>
          <w:p>
            <w:pPr>
              <w:shd w:fill="E8F5E9" w:val="clear"/>
              <w:spacing w:after="28" w:before="28"/>
            </w:pPr>
            <w:r>
              <w:rPr>
                <w:rFonts w:ascii="Courier New" w:cs="Courier New" w:eastAsia="Courier New" w:hAnsi="Courier New"/>
                <w:b/>
                <w:bCs/>
                <w:color w:val="1B5E20"/>
                <w:sz w:val="19"/>
                <w:szCs w:val="19"/>
              </w:rPr>
              <w:t xml:space="preserve">  YES profit: $1,020 - $620 = +$400</w:t>
            </w:r>
          </w:p>
          <w:p>
            <w:pPr>
              <w:shd w:fill="FFFAF4" w:val="clear"/>
              <w:spacing w:after="28" w:before="28"/>
            </w:pPr>
            <w:r>
              <w:rPr>
                <w:rFonts w:ascii="Courier New" w:cs="Courier New" w:eastAsia="Courier New" w:hAnsi="Courier New"/>
                <w:b w:val="false"/>
                <w:bCs w:val="false"/>
                <w:color w:val="3D2B10"/>
                <w:sz w:val="19"/>
                <w:szCs w:val="19"/>
              </w:rPr>
              <w:t xml:space="preserve">  Hedge cost: -$136</w:t>
            </w:r>
          </w:p>
          <w:p>
            <w:pPr>
              <w:shd w:fill="E0F2F1" w:val="clear"/>
              <w:spacing w:after="28" w:before="28"/>
            </w:pPr>
            <w:r>
              <w:rPr>
                <w:rFonts w:ascii="Courier New" w:cs="Courier New" w:eastAsia="Courier New" w:hAnsi="Courier New"/>
                <w:b/>
                <w:bCs/>
                <w:color w:val="004D40"/>
                <w:sz w:val="19"/>
                <w:szCs w:val="19"/>
              </w:rPr>
              <w:t xml:space="preserve">  NET TOTAL: +$400 - $136 = +$264 (+42.6%)</w:t>
            </w:r>
          </w:p>
          <w:p>
            <w:pPr>
              <w:shd w:fill="FDECD8" w:val="clear"/>
              <w:spacing w:after="28" w:before="28"/>
            </w:pPr>
            <w:r>
              <w:rPr>
                <w:rFonts w:ascii="Courier New" w:cs="Courier New" w:eastAsia="Courier New" w:hAnsi="Courier New"/>
                <w:b w:val="false"/>
                <w:bCs w:val="false"/>
                <w:color w:val="C8700A"/>
                <w:sz w:val="19"/>
                <w:szCs w:val="19"/>
              </w:rPr>
              <w:t xml:space="preserve">  Static hold (no hedge): +$400 (+64.5%)</w:t>
            </w:r>
          </w:p>
          <w:p>
            <w:pPr>
              <w:shd w:fill="FDECD8" w:val="clear"/>
              <w:spacing w:after="28" w:before="28"/>
            </w:pPr>
            <w:r>
              <w:rPr>
                <w:rFonts w:ascii="Courier New" w:cs="Courier New" w:eastAsia="Courier New" w:hAnsi="Courier New"/>
                <w:b w:val="false"/>
                <w:bCs w:val="false"/>
                <w:color w:val="C8700A"/>
                <w:sz w:val="19"/>
                <w:szCs w:val="19"/>
              </w:rPr>
              <w:t xml:space="preserve">  Hedge cost: -21.9% upside for full protection</w:t>
            </w:r>
          </w:p>
        </w:tc>
      </w:tr>
    </w:tbl>
    <w:p>
      <w:pPr>
        <w:spacing w:after="0" w:before="40"/>
      </w:pPr>
      <w:r>
        <w:t xml:space="preserve"/>
      </w:r>
    </w:p>
    <w:p>
      <w:pPr>
        <w:pBdr>
          <w:left w:val="single" w:color="B71C1C" w:sz="16"/>
        </w:pBdr>
        <w:shd w:fill="FBE9E7" w:val="clear"/>
        <w:spacing w:after="50" w:before="80"/>
        <w:ind w:left="200"/>
      </w:pPr>
      <w:r>
        <w:rPr>
          <w:rFonts w:ascii="Courier New" w:cs="Courier New" w:eastAsia="Courier New" w:hAnsi="Courier New"/>
          <w:b/>
          <w:bCs/>
          <w:color w:val="B71C1C"/>
          <w:sz w:val="16"/>
          <w:szCs w:val="16"/>
        </w:rPr>
        <w:t xml:space="preserve">DYNAMIC HEDGE DISCIPLINE</w:t>
      </w:r>
    </w:p>
    <w:p>
      <w:pPr>
        <w:pBdr>
          <w:left w:val="single" w:color="B71C1C" w:sz="16"/>
        </w:pBdr>
        <w:shd w:fill="FBE9E7" w:val="clear"/>
        <w:spacing w:after="40" w:before="40"/>
        <w:ind w:left="200"/>
      </w:pPr>
      <w:r>
        <w:rPr>
          <w:rFonts w:ascii="Arial" w:cs="Arial" w:eastAsia="Arial" w:hAnsi="Arial"/>
          <w:color w:val="3D2B10"/>
          <w:sz w:val="21"/>
          <w:szCs w:val="21"/>
        </w:rPr>
        <w:t xml:space="preserve">The most common mistake in HEDGE-03 is adding counter-hedge tokens reactively to short-term price noise rather than genuine conviction changes. Every counter-hedge addition must be justified by a specific piece of new information or a specific change in the underlying thesis — not by watching the price drop 5% in one hour. Establish written hedge trigger criteria before entering the primary position, and adhere to them strictly.</w:t>
      </w:r>
    </w:p>
    <w:p>
      <w:pPr>
        <w:pBdr>
          <w:left w:val="single" w:color="B71C1C" w:sz="16"/>
        </w:pBdr>
        <w:shd w:fill="FBE9E7" w:val="clear"/>
        <w:spacing w:after="60" w:before="40"/>
        <w:ind w:left="200"/>
      </w:pPr>
      <w:r>
        <w:t xml:space="preserve"/>
      </w:r>
    </w:p>
    <w:p>
      <w:pPr>
        <w:shd w:fill="5C3000" w:val="clear"/>
        <w:spacing w:after="100" w:before="360"/>
      </w:pPr>
      <w:r>
        <w:rPr>
          <w:rFonts w:ascii="Courier New" w:cs="Courier New" w:eastAsia="Courier New" w:hAnsi="Courier New"/>
          <w:b/>
          <w:bCs/>
          <w:color w:val="FAE0C0"/>
          <w:sz w:val="17"/>
          <w:szCs w:val="17"/>
        </w:rPr>
        <w:t xml:space="preserve">  // 03 · CONCLUSIONS  </w:t>
      </w:r>
    </w:p>
    <w:p>
      <w:pPr>
        <w:pStyle w:val="Heading1"/>
        <w:pBdr>
          <w:bottom w:val="single" w:color="F0B060" w:sz="8" w:space="3"/>
        </w:pBdr>
        <w:spacing w:after="140" w:before="280"/>
      </w:pPr>
      <w:r>
        <w:rPr>
          <w:rFonts w:ascii="Arial" w:cs="Arial" w:eastAsia="Arial" w:hAnsi="Arial"/>
          <w:b/>
          <w:bCs/>
          <w:color w:val="2D2416"/>
          <w:sz w:val="40"/>
          <w:szCs w:val="40"/>
        </w:rPr>
        <w:t xml:space="preserve">Two Essential Frameworks for Disciplined Hedging</w:t>
      </w:r>
    </w:p>
    <w:p>
      <w:pPr>
        <w:pBdr>
          <w:bottom w:val="single" w:color="F0B060" w:sz="4" w:space="2"/>
        </w:pBdr>
        <w:spacing w:after="60" w:before="60"/>
      </w:pPr>
      <w:r>
        <w:t xml:space="preserve"/>
      </w:r>
    </w:p>
    <w:p>
      <w:pPr>
        <w:pStyle w:val="Heading2"/>
        <w:spacing w:after="100" w:before="240"/>
      </w:pPr>
      <w:r>
        <w:rPr>
          <w:rFonts w:ascii="Arial" w:cs="Arial" w:eastAsia="Arial" w:hAnsi="Arial"/>
          <w:b/>
          <w:bCs/>
          <w:color w:val="5C3000"/>
          <w:sz w:val="30"/>
          <w:szCs w:val="30"/>
        </w:rPr>
        <w:t xml:space="preserve">1.  Risks and Returns: The Hedging Equation</w:t>
      </w:r>
    </w:p>
    <w:p>
      <w:pPr>
        <w:spacing w:after="60" w:before="60"/>
      </w:pPr>
      <w:r>
        <w:rPr>
          <w:rFonts w:ascii="Arial" w:cs="Arial" w:eastAsia="Arial" w:hAnsi="Arial"/>
          <w:color w:val="3D2B10"/>
          <w:sz w:val="22"/>
          <w:szCs w:val="22"/>
        </w:rPr>
        <w:t xml:space="preserve">Group 4 strategies demand a </w:t>
      </w:r>
      <w:r>
        <w:rPr>
          <w:rFonts w:ascii="Arial" w:cs="Arial" w:eastAsia="Arial" w:hAnsi="Arial"/>
          <w:b/>
          <w:bCs/>
          <w:color w:val="2D2416"/>
          <w:sz w:val="22"/>
          <w:szCs w:val="22"/>
        </w:rPr>
        <w:t xml:space="preserve">complete reorientation of how "success" is measured.</w:t>
      </w:r>
      <w:r>
        <w:rPr>
          <w:rFonts w:ascii="Arial" w:cs="Arial" w:eastAsia="Arial" w:hAnsi="Arial"/>
          <w:color w:val="3D2B10"/>
          <w:sz w:val="22"/>
          <w:szCs w:val="22"/>
        </w:rPr>
        <w:t xml:space="preserve"> In speculative trading (Groups 1–3), success means positive absolute return. In hedging, success means </w:t>
      </w:r>
      <w:r>
        <w:rPr>
          <w:rFonts w:ascii="Arial" w:cs="Arial" w:eastAsia="Arial" w:hAnsi="Arial"/>
          <w:b/>
          <w:bCs/>
          <w:color w:val="2D2416"/>
          <w:sz w:val="22"/>
          <w:szCs w:val="22"/>
        </w:rPr>
        <w:t xml:space="preserve">the adverse scenario caused less damage than it would have without the hedge.</w:t>
      </w:r>
      <w:r>
        <w:rPr>
          <w:rFonts w:ascii="Arial" w:cs="Arial" w:eastAsia="Arial" w:hAnsi="Arial"/>
          <w:color w:val="3D2B10"/>
          <w:sz w:val="22"/>
          <w:szCs w:val="22"/>
        </w:rPr>
        <w:t xml:space="preserve"> A HEDGE-01 position that "lost" $992 in premium while saving $1,600 in BTC losses is not a losing trade — it is a </w:t>
      </w:r>
      <w:r>
        <w:rPr>
          <w:rFonts w:ascii="Arial" w:cs="Arial" w:eastAsia="Arial" w:hAnsi="Arial"/>
          <w:b/>
          <w:bCs/>
          <w:color w:val="2D2416"/>
          <w:sz w:val="22"/>
          <w:szCs w:val="22"/>
        </w:rPr>
        <w:t xml:space="preserve">+$608 net contribution</w:t>
      </w:r>
      <w:r>
        <w:rPr>
          <w:rFonts w:ascii="Arial" w:cs="Arial" w:eastAsia="Arial" w:hAnsi="Arial"/>
          <w:color w:val="3D2B10"/>
          <w:sz w:val="22"/>
          <w:szCs w:val="22"/>
        </w:rPr>
        <w:t xml:space="preserve"> to portfolio value. Investors who evaluate hedges using speculative metrics will systematically mis-price and under-use these strategies.</w:t>
      </w:r>
    </w:p>
    <w:p>
      <w:pPr>
        <w:spacing w:after="0" w:before="50"/>
      </w:pPr>
      <w:r>
        <w:t xml:space="preserve"/>
      </w:r>
    </w:p>
    <w:p>
      <w:pPr>
        <w:pStyle w:val="Heading3"/>
        <w:spacing w:after="80" w:before="180"/>
      </w:pPr>
      <w:r>
        <w:rPr>
          <w:rFonts w:ascii="Arial" w:cs="Arial" w:eastAsia="Arial" w:hAnsi="Arial"/>
          <w:b/>
          <w:bCs/>
          <w:color w:val="A05208"/>
          <w:sz w:val="24"/>
          <w:szCs w:val="24"/>
        </w:rPr>
        <w:t xml:space="preserve">Return and risk profile by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40"/>
        <w:gridCol w:w="1800"/>
        <w:gridCol w:w="2160"/>
        <w:gridCol w:w="1800"/>
      </w:tblGrid>
      <w:tr>
        <w:trPr>
          <w:tblHeader/>
        </w:trPr>
        <w:tc>
          <w:tcPr>
            <w:tcW w:type="dxa" w:w="1560"/>
            <w:tcBorders>
              <w:top w:val="single" w:color="F7D0A0" w:sz="1"/>
              <w:left w:val="single" w:color="F7D0A0" w:sz="1"/>
              <w:bottom w:val="single" w:color="F7D0A0" w:sz="1"/>
              <w:right w:val="single" w:color="F7D0A0" w:sz="1"/>
            </w:tcBorders>
            <w:shd w:fill="5C3000" w:val="clear"/>
            <w:tcMar>
              <w:top w:type="dxa" w:w="90"/>
              <w:left w:type="dxa" w:w="130"/>
              <w:bottom w:type="dxa" w:w="90"/>
              <w:right w:type="dxa" w:w="130"/>
            </w:tcMar>
          </w:tcPr>
          <w:p>
            <w:pPr>
              <w:spacing w:after="40" w:before="40"/>
            </w:pPr>
            <w:r>
              <w:rPr>
                <w:rFonts w:ascii="Arial" w:cs="Arial" w:eastAsia="Arial" w:hAnsi="Arial"/>
                <w:b/>
                <w:bCs/>
                <w:color w:val="FFFFFF"/>
                <w:sz w:val="19"/>
                <w:szCs w:val="19"/>
              </w:rPr>
              <w:t xml:space="preserve">Strategy</w:t>
            </w:r>
          </w:p>
        </w:tc>
        <w:tc>
          <w:tcPr>
            <w:tcW w:type="dxa" w:w="2040"/>
            <w:tcBorders>
              <w:top w:val="single" w:color="F7D0A0" w:sz="1"/>
              <w:left w:val="single" w:color="F7D0A0" w:sz="1"/>
              <w:bottom w:val="single" w:color="F7D0A0" w:sz="1"/>
              <w:right w:val="single" w:color="F7D0A0" w:sz="1"/>
            </w:tcBorders>
            <w:shd w:fill="5C3000" w:val="clear"/>
            <w:tcMar>
              <w:top w:type="dxa" w:w="90"/>
              <w:left w:type="dxa" w:w="130"/>
              <w:bottom w:type="dxa" w:w="90"/>
              <w:right w:type="dxa" w:w="130"/>
            </w:tcMar>
          </w:tcPr>
          <w:p>
            <w:pPr>
              <w:spacing w:after="40" w:before="40"/>
            </w:pPr>
            <w:r>
              <w:rPr>
                <w:rFonts w:ascii="Arial" w:cs="Arial" w:eastAsia="Arial" w:hAnsi="Arial"/>
                <w:b/>
                <w:bCs/>
                <w:color w:val="FFFFFF"/>
                <w:sz w:val="19"/>
                <w:szCs w:val="19"/>
              </w:rPr>
              <w:t xml:space="preserve">Cost Structure</w:t>
            </w:r>
          </w:p>
        </w:tc>
        <w:tc>
          <w:tcPr>
            <w:tcW w:type="dxa" w:w="1800"/>
            <w:tcBorders>
              <w:top w:val="single" w:color="F7D0A0" w:sz="1"/>
              <w:left w:val="single" w:color="F7D0A0" w:sz="1"/>
              <w:bottom w:val="single" w:color="F7D0A0" w:sz="1"/>
              <w:right w:val="single" w:color="F7D0A0" w:sz="1"/>
            </w:tcBorders>
            <w:shd w:fill="5C3000" w:val="clear"/>
            <w:tcMar>
              <w:top w:type="dxa" w:w="90"/>
              <w:left w:type="dxa" w:w="130"/>
              <w:bottom w:type="dxa" w:w="90"/>
              <w:right w:type="dxa" w:w="130"/>
            </w:tcMar>
          </w:tcPr>
          <w:p>
            <w:pPr>
              <w:spacing w:after="40" w:before="40"/>
            </w:pPr>
            <w:r>
              <w:rPr>
                <w:rFonts w:ascii="Arial" w:cs="Arial" w:eastAsia="Arial" w:hAnsi="Arial"/>
                <w:b/>
                <w:bCs/>
                <w:color w:val="FFFFFF"/>
                <w:sz w:val="19"/>
                <w:szCs w:val="19"/>
              </w:rPr>
              <w:t xml:space="preserve">Protection Capacity</w:t>
            </w:r>
          </w:p>
        </w:tc>
        <w:tc>
          <w:tcPr>
            <w:tcW w:type="dxa" w:w="2160"/>
            <w:tcBorders>
              <w:top w:val="single" w:color="F7D0A0" w:sz="1"/>
              <w:left w:val="single" w:color="F7D0A0" w:sz="1"/>
              <w:bottom w:val="single" w:color="F7D0A0" w:sz="1"/>
              <w:right w:val="single" w:color="F7D0A0" w:sz="1"/>
            </w:tcBorders>
            <w:shd w:fill="5C3000" w:val="clear"/>
            <w:tcMar>
              <w:top w:type="dxa" w:w="90"/>
              <w:left w:type="dxa" w:w="130"/>
              <w:bottom w:type="dxa" w:w="90"/>
              <w:right w:type="dxa" w:w="130"/>
            </w:tcMar>
          </w:tcPr>
          <w:p>
            <w:pPr>
              <w:spacing w:after="40" w:before="40"/>
            </w:pPr>
            <w:r>
              <w:rPr>
                <w:rFonts w:ascii="Arial" w:cs="Arial" w:eastAsia="Arial" w:hAnsi="Arial"/>
                <w:b/>
                <w:bCs/>
                <w:color w:val="FFFFFF"/>
                <w:sz w:val="19"/>
                <w:szCs w:val="19"/>
              </w:rPr>
              <w:t xml:space="preserve">Risk if Unhedged Event Occurs</w:t>
            </w:r>
          </w:p>
        </w:tc>
        <w:tc>
          <w:tcPr>
            <w:tcW w:type="dxa" w:w="1800"/>
            <w:tcBorders>
              <w:top w:val="single" w:color="F7D0A0" w:sz="1"/>
              <w:left w:val="single" w:color="F7D0A0" w:sz="1"/>
              <w:bottom w:val="single" w:color="F7D0A0" w:sz="1"/>
              <w:right w:val="single" w:color="F7D0A0" w:sz="1"/>
            </w:tcBorders>
            <w:shd w:fill="5C3000" w:val="clear"/>
            <w:tcMar>
              <w:top w:type="dxa" w:w="90"/>
              <w:left w:type="dxa" w:w="130"/>
              <w:bottom w:type="dxa" w:w="90"/>
              <w:right w:type="dxa" w:w="130"/>
            </w:tcMar>
          </w:tcPr>
          <w:p>
            <w:pPr>
              <w:spacing w:after="40" w:before="40"/>
            </w:pPr>
            <w:r>
              <w:rPr>
                <w:rFonts w:ascii="Arial" w:cs="Arial" w:eastAsia="Arial" w:hAnsi="Arial"/>
                <w:b/>
                <w:bCs/>
                <w:color w:val="FFFFFF"/>
                <w:sz w:val="19"/>
                <w:szCs w:val="19"/>
              </w:rPr>
              <w:t xml:space="preserve">Hedge Efficiency</w:t>
            </w:r>
          </w:p>
        </w:tc>
      </w:tr>
      <w:tr>
        <w:tc>
          <w:tcPr>
            <w:tcW w:type="dxa" w:w="1560"/>
            <w:tcBorders>
              <w:top w:val="single" w:color="F7D0A0" w:sz="1"/>
              <w:left w:val="single" w:color="F7D0A0" w:sz="1"/>
              <w:bottom w:val="single" w:color="F7D0A0" w:sz="1"/>
              <w:right w:val="single" w:color="F7D0A0" w:sz="1"/>
            </w:tcBorders>
            <w:shd w:fill="F7D0A0" w:val="clear"/>
            <w:tcMar>
              <w:top w:type="dxa" w:w="80"/>
              <w:left w:type="dxa" w:w="120"/>
              <w:bottom w:type="dxa" w:w="80"/>
              <w:right w:type="dxa" w:w="120"/>
            </w:tcMar>
          </w:tcPr>
          <w:p>
            <w:pPr>
              <w:spacing w:after="40" w:before="40"/>
            </w:pPr>
            <w:r>
              <w:rPr>
                <w:rFonts w:ascii="Arial" w:cs="Arial" w:eastAsia="Arial" w:hAnsi="Arial"/>
                <w:b/>
                <w:bCs/>
                <w:color w:val="5C3000"/>
                <w:sz w:val="19"/>
                <w:szCs w:val="19"/>
              </w:rPr>
              <w:t xml:space="preserve">HEDGE-01</w:t>
            </w:r>
          </w:p>
        </w:tc>
        <w:tc>
          <w:tcPr>
            <w:tcW w:type="dxa" w:w="2040"/>
            <w:tcBorders>
              <w:top w:val="single" w:color="F7D0A0" w:sz="1"/>
              <w:left w:val="single" w:color="F7D0A0" w:sz="1"/>
              <w:bottom w:val="single" w:color="F7D0A0" w:sz="1"/>
              <w:right w:val="single" w:color="F7D0A0" w:sz="1"/>
            </w:tcBorders>
            <w:shd w:fill="FDECD8" w:val="clear"/>
            <w:tcMar>
              <w:top w:type="dxa" w:w="80"/>
              <w:left w:type="dxa" w:w="120"/>
              <w:bottom w:type="dxa" w:w="80"/>
              <w:right w:type="dxa" w:w="120"/>
            </w:tcMar>
          </w:tcPr>
          <w:p>
            <w:pPr>
              <w:spacing w:after="40" w:before="40"/>
            </w:pPr>
            <w:r>
              <w:rPr>
                <w:rFonts w:ascii="Arial" w:cs="Arial" w:eastAsia="Arial" w:hAnsi="Arial"/>
                <w:b w:val="false"/>
                <w:bCs w:val="false"/>
                <w:color w:val="3D2B10"/>
                <w:sz w:val="19"/>
                <w:szCs w:val="19"/>
              </w:rPr>
              <w:t xml:space="preserve">Premium: 5–10% of position</w:t>
            </w:r>
          </w:p>
        </w:tc>
        <w:tc>
          <w:tcPr>
            <w:tcW w:type="dxa" w:w="1800"/>
            <w:tcBorders>
              <w:top w:val="single" w:color="F7D0A0" w:sz="1"/>
              <w:left w:val="single" w:color="F7D0A0" w:sz="1"/>
              <w:bottom w:val="single" w:color="F7D0A0" w:sz="1"/>
              <w:right w:val="single" w:color="F7D0A0" w:sz="1"/>
            </w:tcBorders>
            <w:shd w:fill="FDECD8" w:val="clear"/>
            <w:tcMar>
              <w:top w:type="dxa" w:w="80"/>
              <w:left w:type="dxa" w:w="120"/>
              <w:bottom w:type="dxa" w:w="80"/>
              <w:right w:type="dxa" w:w="120"/>
            </w:tcMar>
          </w:tcPr>
          <w:p>
            <w:pPr>
              <w:spacing w:after="40" w:before="40"/>
            </w:pPr>
            <w:r>
              <w:rPr>
                <w:rFonts w:ascii="Arial" w:cs="Arial" w:eastAsia="Arial" w:hAnsi="Arial"/>
                <w:b w:val="false"/>
                <w:bCs w:val="false"/>
                <w:color w:val="C8700A"/>
                <w:sz w:val="19"/>
                <w:szCs w:val="19"/>
              </w:rPr>
              <w:t xml:space="preserve">Partial (40–60%)</w:t>
            </w:r>
          </w:p>
        </w:tc>
        <w:tc>
          <w:tcPr>
            <w:tcW w:type="dxa" w:w="2160"/>
            <w:tcBorders>
              <w:top w:val="single" w:color="F7D0A0" w:sz="1"/>
              <w:left w:val="single" w:color="F7D0A0" w:sz="1"/>
              <w:bottom w:val="single" w:color="F7D0A0" w:sz="1"/>
              <w:right w:val="single" w:color="F7D0A0" w:sz="1"/>
            </w:tcBorders>
            <w:shd w:fill="FBE9E7" w:val="clear"/>
            <w:tcMar>
              <w:top w:type="dxa" w:w="80"/>
              <w:left w:type="dxa" w:w="120"/>
              <w:bottom w:type="dxa" w:w="80"/>
              <w:right w:type="dxa" w:w="120"/>
            </w:tcMar>
          </w:tcPr>
          <w:p>
            <w:pPr>
              <w:spacing w:after="40" w:before="40"/>
            </w:pPr>
            <w:r>
              <w:rPr>
                <w:rFonts w:ascii="Arial" w:cs="Arial" w:eastAsia="Arial" w:hAnsi="Arial"/>
                <w:b/>
                <w:bCs/>
                <w:color w:val="B71C1C"/>
                <w:sz w:val="19"/>
                <w:szCs w:val="19"/>
              </w:rPr>
              <w:t xml:space="preserve">Full downside of crypto asset</w:t>
            </w:r>
          </w:p>
        </w:tc>
        <w:tc>
          <w:tcPr>
            <w:tcW w:type="dxa" w:w="1800"/>
            <w:tcBorders>
              <w:top w:val="single" w:color="F7D0A0" w:sz="1"/>
              <w:left w:val="single" w:color="F7D0A0" w:sz="1"/>
              <w:bottom w:val="single" w:color="F7D0A0" w:sz="1"/>
              <w:right w:val="single" w:color="F7D0A0" w:sz="1"/>
            </w:tcBorders>
            <w:shd w:fill="E8F5E9" w:val="clear"/>
            <w:tcMar>
              <w:top w:type="dxa" w:w="80"/>
              <w:left w:type="dxa" w:w="120"/>
              <w:bottom w:type="dxa" w:w="80"/>
              <w:right w:type="dxa" w:w="120"/>
            </w:tcMar>
          </w:tcPr>
          <w:p>
            <w:pPr>
              <w:spacing w:after="40" w:before="40"/>
            </w:pPr>
            <w:r>
              <w:rPr>
                <w:rFonts w:ascii="Arial" w:cs="Arial" w:eastAsia="Arial" w:hAnsi="Arial"/>
                <w:b/>
                <w:bCs/>
                <w:color w:val="1B5E20"/>
                <w:sz w:val="19"/>
                <w:szCs w:val="19"/>
              </w:rPr>
              <w:t xml:space="preserve">High in liquid BTC markets</w:t>
            </w:r>
          </w:p>
        </w:tc>
      </w:tr>
      <w:tr>
        <w:tc>
          <w:tcPr>
            <w:tcW w:type="dxa" w:w="1560"/>
            <w:tcBorders>
              <w:top w:val="single" w:color="F7D0A0" w:sz="1"/>
              <w:left w:val="single" w:color="F7D0A0" w:sz="1"/>
              <w:bottom w:val="single" w:color="F7D0A0" w:sz="1"/>
              <w:right w:val="single" w:color="F7D0A0" w:sz="1"/>
            </w:tcBorders>
            <w:shd w:fill="F7D0A0" w:val="clear"/>
            <w:tcMar>
              <w:top w:type="dxa" w:w="80"/>
              <w:left w:type="dxa" w:w="120"/>
              <w:bottom w:type="dxa" w:w="80"/>
              <w:right w:type="dxa" w:w="120"/>
            </w:tcMar>
          </w:tcPr>
          <w:p>
            <w:pPr>
              <w:spacing w:after="40" w:before="40"/>
            </w:pPr>
            <w:r>
              <w:rPr>
                <w:rFonts w:ascii="Arial" w:cs="Arial" w:eastAsia="Arial" w:hAnsi="Arial"/>
                <w:b/>
                <w:bCs/>
                <w:color w:val="5C3000"/>
                <w:sz w:val="19"/>
                <w:szCs w:val="19"/>
              </w:rPr>
              <w:t xml:space="preserve">HEDGE-02</w:t>
            </w:r>
          </w:p>
        </w:tc>
        <w:tc>
          <w:tcPr>
            <w:tcW w:type="dxa" w:w="2040"/>
            <w:tcBorders>
              <w:top w:val="single" w:color="F7D0A0" w:sz="1"/>
              <w:left w:val="single" w:color="F7D0A0" w:sz="1"/>
              <w:bottom w:val="single" w:color="F7D0A0" w:sz="1"/>
              <w:right w:val="single" w:color="F7D0A0" w:sz="1"/>
            </w:tcBorders>
            <w:shd w:fill="FFF8F0" w:val="clear"/>
            <w:tcMar>
              <w:top w:type="dxa" w:w="80"/>
              <w:left w:type="dxa" w:w="120"/>
              <w:bottom w:type="dxa" w:w="80"/>
              <w:right w:type="dxa" w:w="120"/>
            </w:tcMar>
          </w:tcPr>
          <w:p>
            <w:pPr>
              <w:spacing w:after="40" w:before="40"/>
            </w:pPr>
            <w:r>
              <w:rPr>
                <w:rFonts w:ascii="Arial" w:cs="Arial" w:eastAsia="Arial" w:hAnsi="Arial"/>
                <w:b w:val="false"/>
                <w:bCs w:val="false"/>
                <w:color w:val="3D2B10"/>
                <w:sz w:val="19"/>
                <w:szCs w:val="19"/>
              </w:rPr>
              <w:t xml:space="preserve">Premium: 1–3% of revenue/assets</w:t>
            </w:r>
          </w:p>
        </w:tc>
        <w:tc>
          <w:tcPr>
            <w:tcW w:type="dxa" w:w="1800"/>
            <w:tcBorders>
              <w:top w:val="single" w:color="F7D0A0" w:sz="1"/>
              <w:left w:val="single" w:color="F7D0A0" w:sz="1"/>
              <w:bottom w:val="single" w:color="F7D0A0" w:sz="1"/>
              <w:right w:val="single" w:color="F7D0A0" w:sz="1"/>
            </w:tcBorders>
            <w:shd w:fill="FDECD8" w:val="clear"/>
            <w:tcMar>
              <w:top w:type="dxa" w:w="80"/>
              <w:left w:type="dxa" w:w="120"/>
              <w:bottom w:type="dxa" w:w="80"/>
              <w:right w:type="dxa" w:w="120"/>
            </w:tcMar>
          </w:tcPr>
          <w:p>
            <w:pPr>
              <w:spacing w:after="40" w:before="40"/>
            </w:pPr>
            <w:r>
              <w:rPr>
                <w:rFonts w:ascii="Arial" w:cs="Arial" w:eastAsia="Arial" w:hAnsi="Arial"/>
                <w:b w:val="false"/>
                <w:bCs w:val="false"/>
                <w:color w:val="C8700A"/>
                <w:sz w:val="19"/>
                <w:szCs w:val="19"/>
              </w:rPr>
              <w:t xml:space="preserve">Partial (20–40%)</w:t>
            </w:r>
          </w:p>
        </w:tc>
        <w:tc>
          <w:tcPr>
            <w:tcW w:type="dxa" w:w="2160"/>
            <w:tcBorders>
              <w:top w:val="single" w:color="F7D0A0" w:sz="1"/>
              <w:left w:val="single" w:color="F7D0A0" w:sz="1"/>
              <w:bottom w:val="single" w:color="F7D0A0" w:sz="1"/>
              <w:right w:val="single" w:color="F7D0A0" w:sz="1"/>
            </w:tcBorders>
            <w:shd w:fill="FBE9E7" w:val="clear"/>
            <w:tcMar>
              <w:top w:type="dxa" w:w="80"/>
              <w:left w:type="dxa" w:w="120"/>
              <w:bottom w:type="dxa" w:w="80"/>
              <w:right w:type="dxa" w:w="120"/>
            </w:tcMar>
          </w:tcPr>
          <w:p>
            <w:pPr>
              <w:spacing w:after="40" w:before="40"/>
            </w:pPr>
            <w:r>
              <w:rPr>
                <w:rFonts w:ascii="Arial" w:cs="Arial" w:eastAsia="Arial" w:hAnsi="Arial"/>
                <w:b/>
                <w:bCs/>
                <w:color w:val="B71C1C"/>
                <w:sz w:val="19"/>
                <w:szCs w:val="19"/>
              </w:rPr>
              <w:t xml:space="preserve">Full business impact of event</w:t>
            </w:r>
          </w:p>
        </w:tc>
        <w:tc>
          <w:tcPr>
            <w:tcW w:type="dxa" w:w="1800"/>
            <w:tcBorders>
              <w:top w:val="single" w:color="F7D0A0" w:sz="1"/>
              <w:left w:val="single" w:color="F7D0A0" w:sz="1"/>
              <w:bottom w:val="single" w:color="F7D0A0" w:sz="1"/>
              <w:right w:val="single" w:color="F7D0A0" w:sz="1"/>
            </w:tcBorders>
            <w:shd w:fill="FDECD8" w:val="clear"/>
            <w:tcMar>
              <w:top w:type="dxa" w:w="80"/>
              <w:left w:type="dxa" w:w="120"/>
              <w:bottom w:type="dxa" w:w="80"/>
              <w:right w:type="dxa" w:w="120"/>
            </w:tcMar>
          </w:tcPr>
          <w:p>
            <w:pPr>
              <w:spacing w:after="40" w:before="40"/>
            </w:pPr>
            <w:r>
              <w:rPr>
                <w:rFonts w:ascii="Arial" w:cs="Arial" w:eastAsia="Arial" w:hAnsi="Arial"/>
                <w:b w:val="false"/>
                <w:bCs w:val="false"/>
                <w:color w:val="C8700A"/>
                <w:sz w:val="19"/>
                <w:szCs w:val="19"/>
              </w:rPr>
              <w:t xml:space="preserve">Medium — depends on correlation</w:t>
            </w:r>
          </w:p>
        </w:tc>
      </w:tr>
      <w:tr>
        <w:tc>
          <w:tcPr>
            <w:tcW w:type="dxa" w:w="1560"/>
            <w:tcBorders>
              <w:top w:val="single" w:color="F7D0A0" w:sz="1"/>
              <w:left w:val="single" w:color="F7D0A0" w:sz="1"/>
              <w:bottom w:val="single" w:color="F7D0A0" w:sz="1"/>
              <w:right w:val="single" w:color="F7D0A0" w:sz="1"/>
            </w:tcBorders>
            <w:shd w:fill="F7D0A0" w:val="clear"/>
            <w:tcMar>
              <w:top w:type="dxa" w:w="80"/>
              <w:left w:type="dxa" w:w="120"/>
              <w:bottom w:type="dxa" w:w="80"/>
              <w:right w:type="dxa" w:w="120"/>
            </w:tcMar>
          </w:tcPr>
          <w:p>
            <w:pPr>
              <w:spacing w:after="40" w:before="40"/>
            </w:pPr>
            <w:r>
              <w:rPr>
                <w:rFonts w:ascii="Arial" w:cs="Arial" w:eastAsia="Arial" w:hAnsi="Arial"/>
                <w:b/>
                <w:bCs/>
                <w:color w:val="5C3000"/>
                <w:sz w:val="19"/>
                <w:szCs w:val="19"/>
              </w:rPr>
              <w:t xml:space="preserve">HEDGE-03</w:t>
            </w:r>
          </w:p>
        </w:tc>
        <w:tc>
          <w:tcPr>
            <w:tcW w:type="dxa" w:w="2040"/>
            <w:tcBorders>
              <w:top w:val="single" w:color="F7D0A0" w:sz="1"/>
              <w:left w:val="single" w:color="F7D0A0" w:sz="1"/>
              <w:bottom w:val="single" w:color="F7D0A0" w:sz="1"/>
              <w:right w:val="single" w:color="F7D0A0" w:sz="1"/>
            </w:tcBorders>
            <w:shd w:fill="FDECD8" w:val="clear"/>
            <w:tcMar>
              <w:top w:type="dxa" w:w="80"/>
              <w:left w:type="dxa" w:w="120"/>
              <w:bottom w:type="dxa" w:w="80"/>
              <w:right w:type="dxa" w:w="120"/>
            </w:tcMar>
          </w:tcPr>
          <w:p>
            <w:pPr>
              <w:spacing w:after="40" w:before="40"/>
            </w:pPr>
            <w:r>
              <w:rPr>
                <w:rFonts w:ascii="Arial" w:cs="Arial" w:eastAsia="Arial" w:hAnsi="Arial"/>
                <w:b w:val="false"/>
                <w:bCs w:val="false"/>
                <w:color w:val="3D2B10"/>
                <w:sz w:val="19"/>
                <w:szCs w:val="19"/>
              </w:rPr>
              <w:t xml:space="preserve">Dynamic: variable spread cost</w:t>
            </w:r>
          </w:p>
        </w:tc>
        <w:tc>
          <w:tcPr>
            <w:tcW w:type="dxa" w:w="1800"/>
            <w:tcBorders>
              <w:top w:val="single" w:color="F7D0A0" w:sz="1"/>
              <w:left w:val="single" w:color="F7D0A0" w:sz="1"/>
              <w:bottom w:val="single" w:color="F7D0A0" w:sz="1"/>
              <w:right w:val="single" w:color="F7D0A0" w:sz="1"/>
            </w:tcBorders>
            <w:shd w:fill="E3F2FD" w:val="clear"/>
            <w:tcMar>
              <w:top w:type="dxa" w:w="80"/>
              <w:left w:type="dxa" w:w="120"/>
              <w:bottom w:type="dxa" w:w="80"/>
              <w:right w:type="dxa" w:w="120"/>
            </w:tcMar>
          </w:tcPr>
          <w:p>
            <w:pPr>
              <w:spacing w:after="40" w:before="40"/>
            </w:pPr>
            <w:r>
              <w:rPr>
                <w:rFonts w:ascii="Arial" w:cs="Arial" w:eastAsia="Arial" w:hAnsi="Arial"/>
                <w:b/>
                <w:bCs/>
                <w:color w:val="0D47A1"/>
                <w:sz w:val="19"/>
                <w:szCs w:val="19"/>
              </w:rPr>
              <w:t xml:space="preserve">Adjustable in real time</w:t>
            </w:r>
          </w:p>
        </w:tc>
        <w:tc>
          <w:tcPr>
            <w:tcW w:type="dxa" w:w="2160"/>
            <w:tcBorders>
              <w:top w:val="single" w:color="F7D0A0" w:sz="1"/>
              <w:left w:val="single" w:color="F7D0A0" w:sz="1"/>
              <w:bottom w:val="single" w:color="F7D0A0" w:sz="1"/>
              <w:right w:val="single" w:color="F7D0A0" w:sz="1"/>
            </w:tcBorders>
            <w:shd w:fill="FBE9E7" w:val="clear"/>
            <w:tcMar>
              <w:top w:type="dxa" w:w="80"/>
              <w:left w:type="dxa" w:w="120"/>
              <w:bottom w:type="dxa" w:w="80"/>
              <w:right w:type="dxa" w:w="120"/>
            </w:tcMar>
          </w:tcPr>
          <w:p>
            <w:pPr>
              <w:spacing w:after="40" w:before="40"/>
            </w:pPr>
            <w:r>
              <w:rPr>
                <w:rFonts w:ascii="Arial" w:cs="Arial" w:eastAsia="Arial" w:hAnsi="Arial"/>
                <w:b/>
                <w:bCs/>
                <w:color w:val="B71C1C"/>
                <w:sz w:val="19"/>
                <w:szCs w:val="19"/>
              </w:rPr>
              <w:t xml:space="preserve">Primary position exposure</w:t>
            </w:r>
          </w:p>
        </w:tc>
        <w:tc>
          <w:tcPr>
            <w:tcW w:type="dxa" w:w="1800"/>
            <w:tcBorders>
              <w:top w:val="single" w:color="F7D0A0" w:sz="1"/>
              <w:left w:val="single" w:color="F7D0A0" w:sz="1"/>
              <w:bottom w:val="single" w:color="F7D0A0" w:sz="1"/>
              <w:right w:val="single" w:color="F7D0A0" w:sz="1"/>
            </w:tcBorders>
            <w:shd w:fill="E8F5E9" w:val="clear"/>
            <w:tcMar>
              <w:top w:type="dxa" w:w="80"/>
              <w:left w:type="dxa" w:w="120"/>
              <w:bottom w:type="dxa" w:w="80"/>
              <w:right w:type="dxa" w:w="120"/>
            </w:tcMar>
          </w:tcPr>
          <w:p>
            <w:pPr>
              <w:spacing w:after="40" w:before="40"/>
            </w:pPr>
            <w:r>
              <w:rPr>
                <w:rFonts w:ascii="Arial" w:cs="Arial" w:eastAsia="Arial" w:hAnsi="Arial"/>
                <w:b/>
                <w:bCs/>
                <w:color w:val="1B5E20"/>
                <w:sz w:val="19"/>
                <w:szCs w:val="19"/>
              </w:rPr>
              <w:t xml:space="preserve">High with active management</w:t>
            </w:r>
          </w:p>
        </w:tc>
      </w:tr>
    </w:tbl>
    <w:p>
      <w:pPr>
        <w:spacing w:after="0" w:before="60"/>
      </w:pPr>
      <w:r>
        <w:t xml:space="preserve"/>
      </w:r>
    </w:p>
    <w:p>
      <w:pPr>
        <w:pStyle w:val="Heading3"/>
        <w:spacing w:after="80" w:before="180"/>
      </w:pPr>
      <w:r>
        <w:rPr>
          <w:rFonts w:ascii="Arial" w:cs="Arial" w:eastAsia="Arial" w:hAnsi="Arial"/>
          <w:b/>
          <w:bCs/>
          <w:color w:val="A05208"/>
          <w:sz w:val="24"/>
          <w:szCs w:val="24"/>
        </w:rPr>
        <w:t xml:space="preserve">The three structural risks across all hedging strategies</w:t>
      </w:r>
    </w:p>
    <w:p>
      <w:pPr>
        <w:spacing w:after="60" w:before="60"/>
      </w:pPr>
      <w:r>
        <w:rPr>
          <w:rFonts w:ascii="Arial" w:cs="Arial" w:eastAsia="Arial" w:hAnsi="Arial"/>
          <w:b/>
          <w:bCs/>
          <w:color w:val="2D2416"/>
          <w:sz w:val="22"/>
          <w:szCs w:val="22"/>
        </w:rPr>
        <w:t xml:space="preserve">Correlation breakdown risk: </w:t>
      </w:r>
      <w:r>
        <w:rPr>
          <w:rFonts w:ascii="Arial" w:cs="Arial" w:eastAsia="Arial" w:hAnsi="Arial"/>
          <w:color w:val="3D2B10"/>
          <w:sz w:val="22"/>
          <w:szCs w:val="22"/>
        </w:rPr>
        <w:t xml:space="preserve">Every hedge assumes that the Polymarket market price moves in a predictable direction when the underlying adverse event occurs. In HEDGE-01, this assumes that if BTC falls below the price target, the NO token appreciates toward $1.00. In HEDGE-02, this assumes the Polymarket event is the same event causing the business loss. If the correlation breaks — for example, BTC falls due to a reason unrelated to the Polymarket market's resolution criteria — the hedge fails entirely. </w:t>
      </w:r>
      <w:r>
        <w:rPr>
          <w:rFonts w:ascii="Arial" w:cs="Arial" w:eastAsia="Arial" w:hAnsi="Arial"/>
          <w:b/>
          <w:bCs/>
          <w:color w:val="2D2416"/>
          <w:sz w:val="22"/>
          <w:szCs w:val="22"/>
        </w:rPr>
        <w:t xml:space="preserve">Always verify the logical causality chain between your hedged asset and your Polymarket position.</w:t>
      </w:r>
    </w:p>
    <w:p>
      <w:pPr>
        <w:spacing w:after="0" w:before="40"/>
      </w:pPr>
      <w:r>
        <w:t xml:space="preserve"/>
      </w:r>
    </w:p>
    <w:p>
      <w:pPr>
        <w:spacing w:after="60" w:before="60"/>
      </w:pPr>
      <w:r>
        <w:rPr>
          <w:rFonts w:ascii="Arial" w:cs="Arial" w:eastAsia="Arial" w:hAnsi="Arial"/>
          <w:b/>
          <w:bCs/>
          <w:color w:val="2D2416"/>
          <w:sz w:val="22"/>
          <w:szCs w:val="22"/>
        </w:rPr>
        <w:t xml:space="preserve">Liquidity risk at exit: </w:t>
      </w:r>
      <w:r>
        <w:rPr>
          <w:rFonts w:ascii="Arial" w:cs="Arial" w:eastAsia="Arial" w:hAnsi="Arial"/>
          <w:color w:val="3D2B10"/>
          <w:sz w:val="22"/>
          <w:szCs w:val="22"/>
        </w:rPr>
        <w:t xml:space="preserve">In HEDGE-03, the counter-hedge must be exited cleanly before resolution. If the NO tokens have low liquidity at exit time, the bid-ask spread can consume a significant portion of the hedge's protective value. Always check order book depth on both sides before establishing any hedging position, and size accordingly.</w:t>
      </w:r>
    </w:p>
    <w:p>
      <w:pPr>
        <w:spacing w:after="0" w:before="40"/>
      </w:pPr>
      <w:r>
        <w:t xml:space="preserve"/>
      </w:r>
    </w:p>
    <w:p>
      <w:pPr>
        <w:spacing w:after="60" w:before="60"/>
      </w:pPr>
      <w:r>
        <w:rPr>
          <w:rFonts w:ascii="Arial" w:cs="Arial" w:eastAsia="Arial" w:hAnsi="Arial"/>
          <w:b/>
          <w:bCs/>
          <w:color w:val="2D2416"/>
          <w:sz w:val="22"/>
          <w:szCs w:val="22"/>
        </w:rPr>
        <w:t xml:space="preserve">Premium opportunity cost: </w:t>
      </w:r>
      <w:r>
        <w:rPr>
          <w:rFonts w:ascii="Arial" w:cs="Arial" w:eastAsia="Arial" w:hAnsi="Arial"/>
          <w:color w:val="3D2B10"/>
          <w:sz w:val="22"/>
          <w:szCs w:val="22"/>
        </w:rPr>
        <w:t xml:space="preserve">Capital deployed in hedge positions cannot be deployed elsewhere. In a strongly bull market, a HEDGE-01 position consumes 9.9% of position value in premium that could have been reinvested in additional BTC. The </w:t>
      </w:r>
      <w:r>
        <w:rPr>
          <w:rFonts w:ascii="Arial" w:cs="Arial" w:eastAsia="Arial" w:hAnsi="Arial"/>
          <w:b/>
          <w:bCs/>
          <w:color w:val="2D2416"/>
          <w:sz w:val="22"/>
          <w:szCs w:val="22"/>
        </w:rPr>
        <w:t xml:space="preserve">implicit cost of hedging is the forgone return</w:t>
      </w:r>
      <w:r>
        <w:rPr>
          <w:rFonts w:ascii="Arial" w:cs="Arial" w:eastAsia="Arial" w:hAnsi="Arial"/>
          <w:color w:val="3D2B10"/>
          <w:sz w:val="22"/>
          <w:szCs w:val="22"/>
        </w:rPr>
        <w:t xml:space="preserve"> on the premium capital. This cost must be weighed against the probability-weighted protection value before every hedge decision.</w:t>
      </w:r>
    </w:p>
    <w:p>
      <w:pPr>
        <w:spacing w:after="0" w:before="60"/>
      </w:pPr>
      <w:r>
        <w:t xml:space="preserve"/>
      </w:r>
    </w:p>
    <w:p>
      <w:pPr>
        <w:pBdr>
          <w:bottom w:val="single" w:color="F0B060" w:sz="4" w:space="2"/>
        </w:pBdr>
        <w:spacing w:after="60" w:before="60"/>
      </w:pPr>
      <w:r>
        <w:t xml:space="preserve"/>
      </w:r>
    </w:p>
    <w:p>
      <w:pPr>
        <w:pStyle w:val="Heading2"/>
        <w:spacing w:after="100" w:before="240"/>
      </w:pPr>
      <w:r>
        <w:rPr>
          <w:rFonts w:ascii="Arial" w:cs="Arial" w:eastAsia="Arial" w:hAnsi="Arial"/>
          <w:b/>
          <w:bCs/>
          <w:color w:val="5C3000"/>
          <w:sz w:val="30"/>
          <w:szCs w:val="30"/>
        </w:rPr>
        <w:t xml:space="preserve">2.  Market Conditions: What Each Strategy Requires</w:t>
      </w:r>
    </w:p>
    <w:p>
      <w:pPr>
        <w:spacing w:after="60" w:before="60"/>
      </w:pPr>
      <w:r>
        <w:rPr>
          <w:rFonts w:ascii="Arial" w:cs="Arial" w:eastAsia="Arial" w:hAnsi="Arial"/>
          <w:color w:val="3D2B10"/>
          <w:sz w:val="22"/>
          <w:szCs w:val="22"/>
        </w:rPr>
        <w:t xml:space="preserve">Hedging is only valuable when the specific market conditions that enable each strategy are present. Executing a hedge in the wrong market — wrong liquidity, wrong correlation, wrong timing — can create the illusion of protection while providing none. The table below defines the minimum conditions each strategy requires for the hedge to be logically and operationally sound.</w:t>
      </w:r>
    </w:p>
    <w:p>
      <w:pPr>
        <w:spacing w:after="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1920"/>
        <w:gridCol w:w="1920"/>
        <w:gridCol w:w="2160"/>
      </w:tblGrid>
      <w:tr>
        <w:trPr>
          <w:tblHeader/>
        </w:trPr>
        <w:tc>
          <w:tcPr>
            <w:tcW w:type="dxa" w:w="1200"/>
            <w:tcBorders>
              <w:top w:val="single" w:color="F7D0A0" w:sz="1"/>
              <w:left w:val="single" w:color="F7D0A0" w:sz="1"/>
              <w:bottom w:val="single" w:color="F7D0A0" w:sz="1"/>
              <w:right w:val="single" w:color="F7D0A0" w:sz="1"/>
            </w:tcBorders>
            <w:shd w:fill="5C3000" w:val="clear"/>
            <w:tcMar>
              <w:top w:type="dxa" w:w="90"/>
              <w:left w:type="dxa" w:w="130"/>
              <w:bottom w:type="dxa" w:w="90"/>
              <w:right w:type="dxa" w:w="130"/>
            </w:tcMar>
          </w:tcPr>
          <w:p>
            <w:pPr>
              <w:spacing w:after="40" w:before="40"/>
            </w:pPr>
            <w:r>
              <w:rPr>
                <w:rFonts w:ascii="Arial" w:cs="Arial" w:eastAsia="Arial" w:hAnsi="Arial"/>
                <w:b/>
                <w:bCs/>
                <w:color w:val="FFFFFF"/>
                <w:sz w:val="19"/>
                <w:szCs w:val="19"/>
              </w:rPr>
              <w:t xml:space="preserve">Strategy</w:t>
            </w:r>
          </w:p>
        </w:tc>
        <w:tc>
          <w:tcPr>
            <w:tcW w:type="dxa" w:w="2160"/>
            <w:tcBorders>
              <w:top w:val="single" w:color="F7D0A0" w:sz="1"/>
              <w:left w:val="single" w:color="F7D0A0" w:sz="1"/>
              <w:bottom w:val="single" w:color="F7D0A0" w:sz="1"/>
              <w:right w:val="single" w:color="F7D0A0" w:sz="1"/>
            </w:tcBorders>
            <w:shd w:fill="5C3000" w:val="clear"/>
            <w:tcMar>
              <w:top w:type="dxa" w:w="90"/>
              <w:left w:type="dxa" w:w="130"/>
              <w:bottom w:type="dxa" w:w="90"/>
              <w:right w:type="dxa" w:w="130"/>
            </w:tcMar>
          </w:tcPr>
          <w:p>
            <w:pPr>
              <w:spacing w:after="40" w:before="40"/>
            </w:pPr>
            <w:r>
              <w:rPr>
                <w:rFonts w:ascii="Arial" w:cs="Arial" w:eastAsia="Arial" w:hAnsi="Arial"/>
                <w:b/>
                <w:bCs/>
                <w:color w:val="FFFFFF"/>
                <w:sz w:val="19"/>
                <w:szCs w:val="19"/>
              </w:rPr>
              <w:t xml:space="preserve">Market Correlation</w:t>
            </w:r>
          </w:p>
        </w:tc>
        <w:tc>
          <w:tcPr>
            <w:tcW w:type="dxa" w:w="1920"/>
            <w:tcBorders>
              <w:top w:val="single" w:color="F7D0A0" w:sz="1"/>
              <w:left w:val="single" w:color="F7D0A0" w:sz="1"/>
              <w:bottom w:val="single" w:color="F7D0A0" w:sz="1"/>
              <w:right w:val="single" w:color="F7D0A0" w:sz="1"/>
            </w:tcBorders>
            <w:shd w:fill="5C3000" w:val="clear"/>
            <w:tcMar>
              <w:top w:type="dxa" w:w="90"/>
              <w:left w:type="dxa" w:w="130"/>
              <w:bottom w:type="dxa" w:w="90"/>
              <w:right w:type="dxa" w:w="130"/>
            </w:tcMar>
          </w:tcPr>
          <w:p>
            <w:pPr>
              <w:spacing w:after="40" w:before="40"/>
            </w:pPr>
            <w:r>
              <w:rPr>
                <w:rFonts w:ascii="Arial" w:cs="Arial" w:eastAsia="Arial" w:hAnsi="Arial"/>
                <w:b/>
                <w:bCs/>
                <w:color w:val="FFFFFF"/>
                <w:sz w:val="19"/>
                <w:szCs w:val="19"/>
              </w:rPr>
              <w:t xml:space="preserve">Liquidity Required</w:t>
            </w:r>
          </w:p>
        </w:tc>
        <w:tc>
          <w:tcPr>
            <w:tcW w:type="dxa" w:w="1920"/>
            <w:tcBorders>
              <w:top w:val="single" w:color="F7D0A0" w:sz="1"/>
              <w:left w:val="single" w:color="F7D0A0" w:sz="1"/>
              <w:bottom w:val="single" w:color="F7D0A0" w:sz="1"/>
              <w:right w:val="single" w:color="F7D0A0" w:sz="1"/>
            </w:tcBorders>
            <w:shd w:fill="5C3000" w:val="clear"/>
            <w:tcMar>
              <w:top w:type="dxa" w:w="90"/>
              <w:left w:type="dxa" w:w="130"/>
              <w:bottom w:type="dxa" w:w="90"/>
              <w:right w:type="dxa" w:w="130"/>
            </w:tcMar>
          </w:tcPr>
          <w:p>
            <w:pPr>
              <w:spacing w:after="40" w:before="40"/>
            </w:pPr>
            <w:r>
              <w:rPr>
                <w:rFonts w:ascii="Arial" w:cs="Arial" w:eastAsia="Arial" w:hAnsi="Arial"/>
                <w:b/>
                <w:bCs/>
                <w:color w:val="FFFFFF"/>
                <w:sz w:val="19"/>
                <w:szCs w:val="19"/>
              </w:rPr>
              <w:t xml:space="preserve">Timing Window</w:t>
            </w:r>
          </w:p>
        </w:tc>
        <w:tc>
          <w:tcPr>
            <w:tcW w:type="dxa" w:w="2160"/>
            <w:tcBorders>
              <w:top w:val="single" w:color="F7D0A0" w:sz="1"/>
              <w:left w:val="single" w:color="F7D0A0" w:sz="1"/>
              <w:bottom w:val="single" w:color="F7D0A0" w:sz="1"/>
              <w:right w:val="single" w:color="F7D0A0" w:sz="1"/>
            </w:tcBorders>
            <w:shd w:fill="5C3000" w:val="clear"/>
            <w:tcMar>
              <w:top w:type="dxa" w:w="90"/>
              <w:left w:type="dxa" w:w="130"/>
              <w:bottom w:type="dxa" w:w="90"/>
              <w:right w:type="dxa" w:w="130"/>
            </w:tcMar>
          </w:tcPr>
          <w:p>
            <w:pPr>
              <w:spacing w:after="40" w:before="40"/>
            </w:pPr>
            <w:r>
              <w:rPr>
                <w:rFonts w:ascii="Arial" w:cs="Arial" w:eastAsia="Arial" w:hAnsi="Arial"/>
                <w:b/>
                <w:bCs/>
                <w:color w:val="FFFFFF"/>
                <w:sz w:val="19"/>
                <w:szCs w:val="19"/>
              </w:rPr>
              <w:t xml:space="preserve">Min Adverse Impact to Justify Hedge</w:t>
            </w:r>
          </w:p>
        </w:tc>
      </w:tr>
      <w:tr>
        <w:tc>
          <w:tcPr>
            <w:tcW w:type="dxa" w:w="1200"/>
            <w:tcBorders>
              <w:top w:val="single" w:color="F7D0A0" w:sz="1"/>
              <w:left w:val="single" w:color="F7D0A0" w:sz="1"/>
              <w:bottom w:val="single" w:color="F7D0A0" w:sz="1"/>
              <w:right w:val="single" w:color="F7D0A0" w:sz="1"/>
            </w:tcBorders>
            <w:shd w:fill="F7D0A0" w:val="clear"/>
            <w:tcMar>
              <w:top w:type="dxa" w:w="80"/>
              <w:left w:type="dxa" w:w="120"/>
              <w:bottom w:type="dxa" w:w="80"/>
              <w:right w:type="dxa" w:w="120"/>
            </w:tcMar>
          </w:tcPr>
          <w:p>
            <w:pPr>
              <w:spacing w:after="40" w:before="40"/>
            </w:pPr>
            <w:r>
              <w:rPr>
                <w:rFonts w:ascii="Arial" w:cs="Arial" w:eastAsia="Arial" w:hAnsi="Arial"/>
                <w:b/>
                <w:bCs/>
                <w:color w:val="5C3000"/>
                <w:sz w:val="19"/>
                <w:szCs w:val="19"/>
              </w:rPr>
              <w:t xml:space="preserve">HEDGE-01</w:t>
            </w:r>
          </w:p>
        </w:tc>
        <w:tc>
          <w:tcPr>
            <w:tcW w:type="dxa" w:w="2160"/>
            <w:tcBorders>
              <w:top w:val="single" w:color="F7D0A0" w:sz="1"/>
              <w:left w:val="single" w:color="F7D0A0" w:sz="1"/>
              <w:bottom w:val="single" w:color="F7D0A0" w:sz="1"/>
              <w:right w:val="single" w:color="F7D0A0" w:sz="1"/>
            </w:tcBorders>
            <w:shd w:fill="FDECD8" w:val="clear"/>
            <w:tcMar>
              <w:top w:type="dxa" w:w="80"/>
              <w:left w:type="dxa" w:w="120"/>
              <w:bottom w:type="dxa" w:w="80"/>
              <w:right w:type="dxa" w:w="120"/>
            </w:tcMar>
          </w:tcPr>
          <w:p>
            <w:pPr>
              <w:spacing w:after="40" w:before="40"/>
            </w:pPr>
            <w:r>
              <w:rPr>
                <w:rFonts w:ascii="Arial" w:cs="Arial" w:eastAsia="Arial" w:hAnsi="Arial"/>
                <w:b w:val="false"/>
                <w:bCs w:val="false"/>
                <w:color w:val="3D2B10"/>
                <w:sz w:val="19"/>
                <w:szCs w:val="19"/>
              </w:rPr>
              <w:t xml:space="preserve">High — market must resolve on same price target as your crypto risk</w:t>
            </w:r>
          </w:p>
        </w:tc>
        <w:tc>
          <w:tcPr>
            <w:tcW w:type="dxa" w:w="1920"/>
            <w:tcBorders>
              <w:top w:val="single" w:color="F7D0A0" w:sz="1"/>
              <w:left w:val="single" w:color="F7D0A0" w:sz="1"/>
              <w:bottom w:val="single" w:color="F7D0A0" w:sz="1"/>
              <w:right w:val="single" w:color="F7D0A0" w:sz="1"/>
            </w:tcBorders>
            <w:shd w:fill="FDECD8" w:val="clear"/>
            <w:tcMar>
              <w:top w:type="dxa" w:w="80"/>
              <w:left w:type="dxa" w:w="120"/>
              <w:bottom w:type="dxa" w:w="80"/>
              <w:right w:type="dxa" w:w="120"/>
            </w:tcMar>
          </w:tcPr>
          <w:p>
            <w:pPr>
              <w:spacing w:after="40" w:before="40"/>
            </w:pPr>
            <w:r>
              <w:rPr>
                <w:rFonts w:ascii="Arial" w:cs="Arial" w:eastAsia="Arial" w:hAnsi="Arial"/>
                <w:b w:val="false"/>
                <w:bCs w:val="false"/>
                <w:color w:val="3D2B10"/>
                <w:sz w:val="19"/>
                <w:szCs w:val="19"/>
              </w:rPr>
              <w:t xml:space="preserve">Medium (&gt;$2k/day) — need clean entry and exit</w:t>
            </w:r>
          </w:p>
        </w:tc>
        <w:tc>
          <w:tcPr>
            <w:tcW w:type="dxa" w:w="1920"/>
            <w:tcBorders>
              <w:top w:val="single" w:color="F7D0A0" w:sz="1"/>
              <w:left w:val="single" w:color="F7D0A0" w:sz="1"/>
              <w:bottom w:val="single" w:color="F7D0A0" w:sz="1"/>
              <w:right w:val="single" w:color="F7D0A0" w:sz="1"/>
            </w:tcBorders>
            <w:shd w:fill="FDECD8" w:val="clear"/>
            <w:tcMar>
              <w:top w:type="dxa" w:w="80"/>
              <w:left w:type="dxa" w:w="120"/>
              <w:bottom w:type="dxa" w:w="80"/>
              <w:right w:type="dxa" w:w="120"/>
            </w:tcMar>
          </w:tcPr>
          <w:p>
            <w:pPr>
              <w:spacing w:after="40" w:before="40"/>
            </w:pPr>
            <w:r>
              <w:rPr>
                <w:rFonts w:ascii="Arial" w:cs="Arial" w:eastAsia="Arial" w:hAnsi="Arial"/>
                <w:b w:val="false"/>
                <w:bCs w:val="false"/>
                <w:color w:val="3D2B10"/>
                <w:sz w:val="19"/>
                <w:szCs w:val="19"/>
              </w:rPr>
              <w:t xml:space="preserve">Before BTC price approaches target zone</w:t>
            </w:r>
          </w:p>
        </w:tc>
        <w:tc>
          <w:tcPr>
            <w:tcW w:type="dxa" w:w="2160"/>
            <w:tcBorders>
              <w:top w:val="single" w:color="F7D0A0" w:sz="1"/>
              <w:left w:val="single" w:color="F7D0A0" w:sz="1"/>
              <w:bottom w:val="single" w:color="F7D0A0" w:sz="1"/>
              <w:right w:val="single" w:color="F7D0A0" w:sz="1"/>
            </w:tcBorders>
            <w:shd w:fill="FDECD8" w:val="clear"/>
            <w:tcMar>
              <w:top w:type="dxa" w:w="80"/>
              <w:left w:type="dxa" w:w="120"/>
              <w:bottom w:type="dxa" w:w="80"/>
              <w:right w:type="dxa" w:w="120"/>
            </w:tcMar>
          </w:tcPr>
          <w:p>
            <w:pPr>
              <w:spacing w:after="40" w:before="40"/>
            </w:pPr>
            <w:r>
              <w:rPr>
                <w:rFonts w:ascii="Arial" w:cs="Arial" w:eastAsia="Arial" w:hAnsi="Arial"/>
                <w:b w:val="false"/>
                <w:bCs w:val="false"/>
                <w:color w:val="3D2B10"/>
                <w:sz w:val="19"/>
                <w:szCs w:val="19"/>
              </w:rPr>
              <w:t xml:space="preserve">&gt;$1,000 potential loss on crypto position</w:t>
            </w:r>
          </w:p>
        </w:tc>
      </w:tr>
      <w:tr>
        <w:tc>
          <w:tcPr>
            <w:tcW w:type="dxa" w:w="1200"/>
            <w:tcBorders>
              <w:top w:val="single" w:color="F7D0A0" w:sz="1"/>
              <w:left w:val="single" w:color="F7D0A0" w:sz="1"/>
              <w:bottom w:val="single" w:color="F7D0A0" w:sz="1"/>
              <w:right w:val="single" w:color="F7D0A0" w:sz="1"/>
            </w:tcBorders>
            <w:shd w:fill="F7D0A0" w:val="clear"/>
            <w:tcMar>
              <w:top w:type="dxa" w:w="80"/>
              <w:left w:type="dxa" w:w="120"/>
              <w:bottom w:type="dxa" w:w="80"/>
              <w:right w:type="dxa" w:w="120"/>
            </w:tcMar>
          </w:tcPr>
          <w:p>
            <w:pPr>
              <w:spacing w:after="40" w:before="40"/>
            </w:pPr>
            <w:r>
              <w:rPr>
                <w:rFonts w:ascii="Arial" w:cs="Arial" w:eastAsia="Arial" w:hAnsi="Arial"/>
                <w:b/>
                <w:bCs/>
                <w:color w:val="5C3000"/>
                <w:sz w:val="19"/>
                <w:szCs w:val="19"/>
              </w:rPr>
              <w:t xml:space="preserve">HEDGE-02</w:t>
            </w:r>
          </w:p>
        </w:tc>
        <w:tc>
          <w:tcPr>
            <w:tcW w:type="dxa" w:w="2160"/>
            <w:tcBorders>
              <w:top w:val="single" w:color="F7D0A0" w:sz="1"/>
              <w:left w:val="single" w:color="F7D0A0" w:sz="1"/>
              <w:bottom w:val="single" w:color="F7D0A0" w:sz="1"/>
              <w:right w:val="single" w:color="F7D0A0" w:sz="1"/>
            </w:tcBorders>
            <w:shd w:fill="FFF8F0" w:val="clear"/>
            <w:tcMar>
              <w:top w:type="dxa" w:w="80"/>
              <w:left w:type="dxa" w:w="120"/>
              <w:bottom w:type="dxa" w:w="80"/>
              <w:right w:type="dxa" w:w="120"/>
            </w:tcMar>
          </w:tcPr>
          <w:p>
            <w:pPr>
              <w:spacing w:after="40" w:before="40"/>
            </w:pPr>
            <w:r>
              <w:rPr>
                <w:rFonts w:ascii="Arial" w:cs="Arial" w:eastAsia="Arial" w:hAnsi="Arial"/>
                <w:b w:val="false"/>
                <w:bCs w:val="false"/>
                <w:color w:val="3D2B10"/>
                <w:sz w:val="19"/>
                <w:szCs w:val="19"/>
              </w:rPr>
              <w:t xml:space="preserve">Direct — market must be causally linked to your business risk event</w:t>
            </w:r>
          </w:p>
        </w:tc>
        <w:tc>
          <w:tcPr>
            <w:tcW w:type="dxa" w:w="1920"/>
            <w:tcBorders>
              <w:top w:val="single" w:color="F7D0A0" w:sz="1"/>
              <w:left w:val="single" w:color="F7D0A0" w:sz="1"/>
              <w:bottom w:val="single" w:color="F7D0A0" w:sz="1"/>
              <w:right w:val="single" w:color="F7D0A0" w:sz="1"/>
            </w:tcBorders>
            <w:shd w:fill="FFF8F0" w:val="clear"/>
            <w:tcMar>
              <w:top w:type="dxa" w:w="80"/>
              <w:left w:type="dxa" w:w="120"/>
              <w:bottom w:type="dxa" w:w="80"/>
              <w:right w:type="dxa" w:w="120"/>
            </w:tcMar>
          </w:tcPr>
          <w:p>
            <w:pPr>
              <w:spacing w:after="40" w:before="40"/>
            </w:pPr>
            <w:r>
              <w:rPr>
                <w:rFonts w:ascii="Arial" w:cs="Arial" w:eastAsia="Arial" w:hAnsi="Arial"/>
                <w:b w:val="false"/>
                <w:bCs w:val="false"/>
                <w:color w:val="3D2B10"/>
                <w:sz w:val="19"/>
                <w:szCs w:val="19"/>
              </w:rPr>
              <w:t xml:space="preserve">Low OK — can hold to resolution</w:t>
            </w:r>
          </w:p>
        </w:tc>
        <w:tc>
          <w:tcPr>
            <w:tcW w:type="dxa" w:w="1920"/>
            <w:tcBorders>
              <w:top w:val="single" w:color="F7D0A0" w:sz="1"/>
              <w:left w:val="single" w:color="F7D0A0" w:sz="1"/>
              <w:bottom w:val="single" w:color="F7D0A0" w:sz="1"/>
              <w:right w:val="single" w:color="F7D0A0" w:sz="1"/>
            </w:tcBorders>
            <w:shd w:fill="FFF8F0" w:val="clear"/>
            <w:tcMar>
              <w:top w:type="dxa" w:w="80"/>
              <w:left w:type="dxa" w:w="120"/>
              <w:bottom w:type="dxa" w:w="80"/>
              <w:right w:type="dxa" w:w="120"/>
            </w:tcMar>
          </w:tcPr>
          <w:p>
            <w:pPr>
              <w:spacing w:after="40" w:before="40"/>
            </w:pPr>
            <w:r>
              <w:rPr>
                <w:rFonts w:ascii="Arial" w:cs="Arial" w:eastAsia="Arial" w:hAnsi="Arial"/>
                <w:b w:val="false"/>
                <w:bCs w:val="false"/>
                <w:color w:val="3D2B10"/>
                <w:sz w:val="19"/>
                <w:szCs w:val="19"/>
              </w:rPr>
              <w:t xml:space="preserve">Weeks to months before potential event date</w:t>
            </w:r>
          </w:p>
        </w:tc>
        <w:tc>
          <w:tcPr>
            <w:tcW w:type="dxa" w:w="2160"/>
            <w:tcBorders>
              <w:top w:val="single" w:color="F7D0A0" w:sz="1"/>
              <w:left w:val="single" w:color="F7D0A0" w:sz="1"/>
              <w:bottom w:val="single" w:color="F7D0A0" w:sz="1"/>
              <w:right w:val="single" w:color="F7D0A0" w:sz="1"/>
            </w:tcBorders>
            <w:shd w:fill="FFF8F0" w:val="clear"/>
            <w:tcMar>
              <w:top w:type="dxa" w:w="80"/>
              <w:left w:type="dxa" w:w="120"/>
              <w:bottom w:type="dxa" w:w="80"/>
              <w:right w:type="dxa" w:w="120"/>
            </w:tcMar>
          </w:tcPr>
          <w:p>
            <w:pPr>
              <w:spacing w:after="40" w:before="40"/>
            </w:pPr>
            <w:r>
              <w:rPr>
                <w:rFonts w:ascii="Arial" w:cs="Arial" w:eastAsia="Arial" w:hAnsi="Arial"/>
                <w:b w:val="false"/>
                <w:bCs w:val="false"/>
                <w:color w:val="3D2B10"/>
                <w:sz w:val="19"/>
                <w:szCs w:val="19"/>
              </w:rPr>
              <w:t xml:space="preserve">&gt;10x the premium cost in potential business damage</w:t>
            </w:r>
          </w:p>
        </w:tc>
      </w:tr>
      <w:tr>
        <w:tc>
          <w:tcPr>
            <w:tcW w:type="dxa" w:w="1200"/>
            <w:tcBorders>
              <w:top w:val="single" w:color="F7D0A0" w:sz="1"/>
              <w:left w:val="single" w:color="F7D0A0" w:sz="1"/>
              <w:bottom w:val="single" w:color="F7D0A0" w:sz="1"/>
              <w:right w:val="single" w:color="F7D0A0" w:sz="1"/>
            </w:tcBorders>
            <w:shd w:fill="F7D0A0" w:val="clear"/>
            <w:tcMar>
              <w:top w:type="dxa" w:w="80"/>
              <w:left w:type="dxa" w:w="120"/>
              <w:bottom w:type="dxa" w:w="80"/>
              <w:right w:type="dxa" w:w="120"/>
            </w:tcMar>
          </w:tcPr>
          <w:p>
            <w:pPr>
              <w:spacing w:after="40" w:before="40"/>
            </w:pPr>
            <w:r>
              <w:rPr>
                <w:rFonts w:ascii="Arial" w:cs="Arial" w:eastAsia="Arial" w:hAnsi="Arial"/>
                <w:b/>
                <w:bCs/>
                <w:color w:val="5C3000"/>
                <w:sz w:val="19"/>
                <w:szCs w:val="19"/>
              </w:rPr>
              <w:t xml:space="preserve">HEDGE-03</w:t>
            </w:r>
          </w:p>
        </w:tc>
        <w:tc>
          <w:tcPr>
            <w:tcW w:type="dxa" w:w="2160"/>
            <w:tcBorders>
              <w:top w:val="single" w:color="F7D0A0" w:sz="1"/>
              <w:left w:val="single" w:color="F7D0A0" w:sz="1"/>
              <w:bottom w:val="single" w:color="F7D0A0" w:sz="1"/>
              <w:right w:val="single" w:color="F7D0A0" w:sz="1"/>
            </w:tcBorders>
            <w:shd w:fill="FDECD8" w:val="clear"/>
            <w:tcMar>
              <w:top w:type="dxa" w:w="80"/>
              <w:left w:type="dxa" w:w="120"/>
              <w:bottom w:type="dxa" w:w="80"/>
              <w:right w:type="dxa" w:w="120"/>
            </w:tcMar>
          </w:tcPr>
          <w:p>
            <w:pPr>
              <w:spacing w:after="40" w:before="40"/>
            </w:pPr>
            <w:r>
              <w:rPr>
                <w:rFonts w:ascii="Arial" w:cs="Arial" w:eastAsia="Arial" w:hAnsi="Arial"/>
                <w:b w:val="false"/>
                <w:bCs w:val="false"/>
                <w:color w:val="3D2B10"/>
                <w:sz w:val="19"/>
                <w:szCs w:val="19"/>
              </w:rPr>
              <w:t xml:space="preserve">Inverse — counter-hedge must be negatively correlated with primary</w:t>
            </w:r>
          </w:p>
        </w:tc>
        <w:tc>
          <w:tcPr>
            <w:tcW w:type="dxa" w:w="1920"/>
            <w:tcBorders>
              <w:top w:val="single" w:color="F7D0A0" w:sz="1"/>
              <w:left w:val="single" w:color="F7D0A0" w:sz="1"/>
              <w:bottom w:val="single" w:color="F7D0A0" w:sz="1"/>
              <w:right w:val="single" w:color="F7D0A0" w:sz="1"/>
            </w:tcBorders>
            <w:shd w:fill="FDECD8" w:val="clear"/>
            <w:tcMar>
              <w:top w:type="dxa" w:w="80"/>
              <w:left w:type="dxa" w:w="120"/>
              <w:bottom w:type="dxa" w:w="80"/>
              <w:right w:type="dxa" w:w="120"/>
            </w:tcMar>
          </w:tcPr>
          <w:p>
            <w:pPr>
              <w:spacing w:after="40" w:before="40"/>
            </w:pPr>
            <w:r>
              <w:rPr>
                <w:rFonts w:ascii="Arial" w:cs="Arial" w:eastAsia="Arial" w:hAnsi="Arial"/>
                <w:b w:val="false"/>
                <w:bCs w:val="false"/>
                <w:color w:val="3D2B10"/>
                <w:sz w:val="19"/>
                <w:szCs w:val="19"/>
              </w:rPr>
              <w:t xml:space="preserve">High — counter-hedge must be exitable quickly</w:t>
            </w:r>
          </w:p>
        </w:tc>
        <w:tc>
          <w:tcPr>
            <w:tcW w:type="dxa" w:w="1920"/>
            <w:tcBorders>
              <w:top w:val="single" w:color="F7D0A0" w:sz="1"/>
              <w:left w:val="single" w:color="F7D0A0" w:sz="1"/>
              <w:bottom w:val="single" w:color="F7D0A0" w:sz="1"/>
              <w:right w:val="single" w:color="F7D0A0" w:sz="1"/>
            </w:tcBorders>
            <w:shd w:fill="FDECD8" w:val="clear"/>
            <w:tcMar>
              <w:top w:type="dxa" w:w="80"/>
              <w:left w:type="dxa" w:w="120"/>
              <w:bottom w:type="dxa" w:w="80"/>
              <w:right w:type="dxa" w:w="120"/>
            </w:tcMar>
          </w:tcPr>
          <w:p>
            <w:pPr>
              <w:spacing w:after="40" w:before="40"/>
            </w:pPr>
            <w:r>
              <w:rPr>
                <w:rFonts w:ascii="Arial" w:cs="Arial" w:eastAsia="Arial" w:hAnsi="Arial"/>
                <w:b w:val="false"/>
                <w:bCs w:val="false"/>
                <w:color w:val="3D2B10"/>
                <w:sz w:val="19"/>
                <w:szCs w:val="19"/>
              </w:rPr>
              <w:t xml:space="preserve">Any time during primary position lifecycle</w:t>
            </w:r>
          </w:p>
        </w:tc>
        <w:tc>
          <w:tcPr>
            <w:tcW w:type="dxa" w:w="2160"/>
            <w:tcBorders>
              <w:top w:val="single" w:color="F7D0A0" w:sz="1"/>
              <w:left w:val="single" w:color="F7D0A0" w:sz="1"/>
              <w:bottom w:val="single" w:color="F7D0A0" w:sz="1"/>
              <w:right w:val="single" w:color="F7D0A0" w:sz="1"/>
            </w:tcBorders>
            <w:shd w:fill="FDECD8" w:val="clear"/>
            <w:tcMar>
              <w:top w:type="dxa" w:w="80"/>
              <w:left w:type="dxa" w:w="120"/>
              <w:bottom w:type="dxa" w:w="80"/>
              <w:right w:type="dxa" w:w="120"/>
            </w:tcMar>
          </w:tcPr>
          <w:p>
            <w:pPr>
              <w:spacing w:after="40" w:before="40"/>
            </w:pPr>
            <w:r>
              <w:rPr>
                <w:rFonts w:ascii="Arial" w:cs="Arial" w:eastAsia="Arial" w:hAnsi="Arial"/>
                <w:b w:val="false"/>
                <w:bCs w:val="false"/>
                <w:color w:val="3D2B10"/>
                <w:sz w:val="19"/>
                <w:szCs w:val="19"/>
              </w:rPr>
              <w:t xml:space="preserve">Conviction change that would otherwise require costly position close</w:t>
            </w:r>
          </w:p>
        </w:tc>
      </w:tr>
    </w:tbl>
    <w:p>
      <w:pPr>
        <w:spacing w:after="0" w:before="60"/>
      </w:pPr>
      <w:r>
        <w:t xml:space="preserve"/>
      </w:r>
    </w:p>
    <w:p>
      <w:pPr>
        <w:spacing w:after="60" w:before="60"/>
      </w:pPr>
      <w:r>
        <w:rPr>
          <w:rFonts w:ascii="Arial" w:cs="Arial" w:eastAsia="Arial" w:hAnsi="Arial"/>
          <w:b/>
          <w:bCs/>
          <w:color w:val="2D2416"/>
          <w:sz w:val="22"/>
          <w:szCs w:val="22"/>
        </w:rPr>
        <w:t xml:space="preserve">The three non-negotiable conditions: </w:t>
      </w:r>
      <w:r>
        <w:rPr>
          <w:rFonts w:ascii="Arial" w:cs="Arial" w:eastAsia="Arial" w:hAnsi="Arial"/>
          <w:color w:val="3D2B10"/>
          <w:sz w:val="22"/>
          <w:szCs w:val="22"/>
        </w:rPr>
        <w:t xml:space="preserve">Before executing any hedge, verify: (1) </w:t>
      </w:r>
      <w:r>
        <w:rPr>
          <w:rFonts w:ascii="Arial" w:cs="Arial" w:eastAsia="Arial" w:hAnsi="Arial"/>
          <w:b/>
          <w:bCs/>
          <w:color w:val="2D2416"/>
          <w:sz w:val="22"/>
          <w:szCs w:val="22"/>
        </w:rPr>
        <w:t xml:space="preserve">Logical causality</w:t>
      </w:r>
      <w:r>
        <w:rPr>
          <w:rFonts w:ascii="Arial" w:cs="Arial" w:eastAsia="Arial" w:hAnsi="Arial"/>
          <w:color w:val="3D2B10"/>
          <w:sz w:val="22"/>
          <w:szCs w:val="22"/>
        </w:rPr>
        <w:t xml:space="preserve"> — the Polymarket market resolves on the same event that drives your risk, not just a correlated one. (2) </w:t>
      </w:r>
      <w:r>
        <w:rPr>
          <w:rFonts w:ascii="Arial" w:cs="Arial" w:eastAsia="Arial" w:hAnsi="Arial"/>
          <w:b/>
          <w:bCs/>
          <w:color w:val="2D2416"/>
          <w:sz w:val="22"/>
          <w:szCs w:val="22"/>
        </w:rPr>
        <w:t xml:space="preserve">Proportionality</w:t>
      </w:r>
      <w:r>
        <w:rPr>
          <w:rFonts w:ascii="Arial" w:cs="Arial" w:eastAsia="Arial" w:hAnsi="Arial"/>
          <w:color w:val="3D2B10"/>
          <w:sz w:val="22"/>
          <w:szCs w:val="22"/>
        </w:rPr>
        <w:t xml:space="preserve"> — the expected protection value (probability of adverse event x payout) is at least 3x the premium cost. (3) </w:t>
      </w:r>
      <w:r>
        <w:rPr>
          <w:rFonts w:ascii="Arial" w:cs="Arial" w:eastAsia="Arial" w:hAnsi="Arial"/>
          <w:b/>
          <w:bCs/>
          <w:color w:val="2D2416"/>
          <w:sz w:val="22"/>
          <w:szCs w:val="22"/>
        </w:rPr>
        <w:t xml:space="preserve">Exit plan</w:t>
      </w:r>
      <w:r>
        <w:rPr>
          <w:rFonts w:ascii="Arial" w:cs="Arial" w:eastAsia="Arial" w:hAnsi="Arial"/>
          <w:color w:val="3D2B10"/>
          <w:sz w:val="22"/>
          <w:szCs w:val="22"/>
        </w:rPr>
        <w:t xml:space="preserve"> — you know exactly when and how you will exit the hedge position under both scenarios before you enter it. A hedge without a pre-defined exit plan is speculation in disguise.</w:t>
      </w:r>
    </w:p>
    <w:p>
      <w:pPr>
        <w:spacing w:after="0" w:before="50"/>
      </w:pPr>
      <w:r>
        <w:t xml:space="preserve"/>
      </w:r>
    </w:p>
    <w:p>
      <w:pPr>
        <w:spacing w:after="60" w:before="60"/>
      </w:pPr>
      <w:r>
        <w:rPr>
          <w:rFonts w:ascii="Arial" w:cs="Arial" w:eastAsia="Arial" w:hAnsi="Arial"/>
          <w:color w:val="3D2B10"/>
          <w:sz w:val="22"/>
          <w:szCs w:val="22"/>
        </w:rPr>
        <w:t xml:space="preserve">Finally, the most important strategic insight of Group 4: </w:t>
      </w:r>
      <w:r>
        <w:rPr>
          <w:rFonts w:ascii="Arial" w:cs="Arial" w:eastAsia="Arial" w:hAnsi="Arial"/>
          <w:b/>
          <w:bCs/>
          <w:color w:val="2D2416"/>
          <w:sz w:val="22"/>
          <w:szCs w:val="22"/>
        </w:rPr>
        <w:t xml:space="preserve">hedging is not a substitute for position sizing.</w:t>
      </w:r>
      <w:r>
        <w:rPr>
          <w:rFonts w:ascii="Arial" w:cs="Arial" w:eastAsia="Arial" w:hAnsi="Arial"/>
          <w:color w:val="3D2B10"/>
          <w:sz w:val="22"/>
          <w:szCs w:val="22"/>
        </w:rPr>
        <w:t xml:space="preserve"> No hedge fully replaces the risk management that comes from not over-concentrating capital in any single event-sensitive position. Polymarket hedges are most valuable as a </w:t>
      </w:r>
      <w:r>
        <w:rPr>
          <w:rFonts w:ascii="Arial" w:cs="Arial" w:eastAsia="Arial" w:hAnsi="Arial"/>
          <w:b/>
          <w:bCs/>
          <w:color w:val="2D2416"/>
          <w:sz w:val="22"/>
          <w:szCs w:val="22"/>
        </w:rPr>
        <w:t xml:space="preserve">complement to sound position sizing</w:t>
      </w:r>
      <w:r>
        <w:rPr>
          <w:rFonts w:ascii="Arial" w:cs="Arial" w:eastAsia="Arial" w:hAnsi="Arial"/>
          <w:color w:val="3D2B10"/>
          <w:sz w:val="22"/>
          <w:szCs w:val="22"/>
        </w:rPr>
        <w:t xml:space="preserve"> — the last line of defense, not the first. Use them for residual risks that cannot be reduced through diversification or position reduction, and size the primary position appropriately before reaching for a hedge.</w:t>
      </w:r>
    </w:p>
    <w:p>
      <w:pPr>
        <w:spacing w:after="0" w:before="180"/>
      </w:pPr>
      <w:r>
        <w:t xml:space="preserve"/>
      </w:r>
    </w:p>
    <w:p>
      <w:pPr>
        <w:pBdr>
          <w:bottom w:val="single" w:color="F0B060" w:sz="4" w:space="2"/>
        </w:pBdr>
        <w:spacing w:after="60" w:before="60"/>
      </w:pPr>
      <w:r>
        <w:t xml:space="preserve"/>
      </w:r>
    </w:p>
    <w:p>
      <w:pPr>
        <w:spacing w:after="20" w:before="60"/>
        <w:jc w:val="center"/>
      </w:pPr>
      <w:r>
        <w:rPr>
          <w:rFonts w:ascii="Courier New" w:cs="Courier New" w:eastAsia="Courier New" w:hAnsi="Courier New"/>
          <w:color w:val="6B4E28"/>
          <w:sz w:val="17"/>
          <w:szCs w:val="17"/>
        </w:rPr>
        <w:t xml:space="preserve">PROYECT_MONI v1.0  —  Group 4: Hedging &amp; Portfolio Protection on Polymarket  |  2026</w:t>
      </w:r>
    </w:p>
    <w:p>
      <w:pPr>
        <w:spacing w:after="20" w:before="0"/>
        <w:jc w:val="center"/>
      </w:pPr>
      <w:r>
        <w:rPr>
          <w:rFonts w:ascii="Arial" w:cs="Arial" w:eastAsia="Arial" w:hAnsi="Arial"/>
          <w:color w:val="9B7450"/>
          <w:sz w:val="17"/>
          <w:szCs w:val="17"/>
        </w:rPr>
        <w:t xml:space="preserve">Sources: Polymarket.com  |  arXiv:2508.03474v1  |  Proyect_Moni_Arbitration_Full v1.0</w:t>
      </w:r>
    </w:p>
    <w:p>
      <w:pPr>
        <w:spacing w:after="60" w:before="0"/>
        <w:jc w:val="center"/>
      </w:pPr>
      <w:r>
        <w:rPr>
          <w:rFonts w:ascii="Arial" w:cs="Arial" w:eastAsia="Arial" w:hAnsi="Arial"/>
          <w:i/>
          <w:iCs/>
          <w:color w:val="9B7450"/>
          <w:sz w:val="16"/>
          <w:szCs w:val="16"/>
        </w:rPr>
        <w:t xml:space="preserve">This document is technical and educational. It does not constitute investment or financial advice.</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0B060" w:sz="4" w:space="2"/>
      </w:pBdr>
      <w:tabs>
        <w:tab w:val="right" w:pos="9026"/>
      </w:tabs>
      <w:spacing w:after="0" w:before="120"/>
    </w:pPr>
    <w:r>
      <w:rPr>
        <w:rFonts w:ascii="Arial" w:cs="Arial" w:eastAsia="Arial" w:hAnsi="Arial"/>
        <w:color w:val="6B4E28"/>
        <w:sz w:val="16"/>
        <w:szCs w:val="16"/>
      </w:rPr>
      <w:t xml:space="preserve">Technical &amp; Educational — Not Financial Advice</w:t>
    </w:r>
    <w:r>
      <w:rPr>
        <w:rFonts w:ascii="Arial" w:cs="Arial" w:eastAsia="Arial" w:hAnsi="Arial"/>
        <w:color w:val="6B4E28"/>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0B060" w:sz="4" w:space="2"/>
      </w:pBdr>
      <w:spacing w:after="120" w:before="0"/>
    </w:pPr>
    <w:r>
      <w:rPr>
        <w:rFonts w:ascii="Arial" w:cs="Arial" w:eastAsia="Arial" w:hAnsi="Arial"/>
        <w:b/>
        <w:bCs/>
        <w:color w:val="2D2416"/>
        <w:sz w:val="18"/>
        <w:szCs w:val="18"/>
      </w:rPr>
      <w:t xml:space="preserve">Hedging &amp; Portfolio Protection on Polymarket</w:t>
    </w:r>
    <w:r>
      <w:rPr>
        <w:rFonts w:ascii="Arial" w:cs="Arial" w:eastAsia="Arial" w:hAnsi="Arial"/>
        <w:color w:val="6B4E28"/>
        <w:sz w:val="18"/>
        <w:szCs w:val="18"/>
      </w:rPr>
      <w:t xml:space="preserve">  |  Group 4  |  Proyect_Moni v1.0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2B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2D2416"/>
      <w:sz w:val="40"/>
      <w:szCs w:val="40"/>
    </w:rPr>
  </w:style>
  <w:style w:type="paragraph" w:styleId="Heading2">
    <w:name w:val="Heading 2"/>
    <w:basedOn w:val="Normal"/>
    <w:next w:val="Normal"/>
    <w:qFormat/>
    <w:pPr>
      <w:spacing w:after="100" w:before="240"/>
      <w:outlineLvl w:val="1"/>
    </w:pPr>
    <w:rPr>
      <w:rFonts w:ascii="Arial" w:cs="Arial" w:eastAsia="Arial" w:hAnsi="Arial"/>
      <w:b/>
      <w:bCs/>
      <w:color w:val="5C3000"/>
      <w:sz w:val="30"/>
      <w:szCs w:val="30"/>
    </w:rPr>
  </w:style>
  <w:style w:type="paragraph" w:styleId="Heading3">
    <w:name w:val="Heading 3"/>
    <w:basedOn w:val="Normal"/>
    <w:next w:val="Normal"/>
    <w:qFormat/>
    <w:pPr>
      <w:spacing w:after="80" w:before="180"/>
      <w:outlineLvl w:val="2"/>
    </w:pPr>
    <w:rPr>
      <w:rFonts w:ascii="Arial" w:cs="Arial" w:eastAsia="Arial" w:hAnsi="Arial"/>
      <w:b/>
      <w:bCs/>
      <w:color w:val="A0520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2026-04-11T01:18:15.786Z</dcterms:created>
  <dcterms:modified xsi:type="dcterms:W3CDTF">2026-04-11T01:18:15.787Z</dcterms:modified>
</cp:coreProperties>
</file>

<file path=docProps/custom.xml><?xml version="1.0" encoding="utf-8"?>
<Properties xmlns="http://schemas.openxmlformats.org/officeDocument/2006/custom-properties" xmlns:vt="http://schemas.openxmlformats.org/officeDocument/2006/docPropsVTypes"/>
</file>