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8B4500" w:val="clear"/>
        <w:spacing w:after="40" w:before="40"/>
      </w:pPr>
      <w:r>
        <w:rPr>
          <w:rFonts w:ascii="Courier New" w:cs="Courier New" w:eastAsia="Courier New" w:hAnsi="Courier New"/>
          <w:b/>
          <w:bCs/>
          <w:color w:val="FADA9E"/>
          <w:sz w:val="17"/>
          <w:szCs w:val="17"/>
        </w:rPr>
        <w:t xml:space="preserve">  PROYECT_MONI v1.0  |  GROUP 6  |  TECHNICAL GUIDE  |  2026</w:t>
      </w:r>
    </w:p>
    <w:p>
      <w:pPr>
        <w:spacing w:after="10" w:before="200"/>
      </w:pPr>
      <w:r>
        <w:rPr>
          <w:rFonts w:ascii="Arial" w:cs="Arial" w:eastAsia="Arial" w:hAnsi="Arial"/>
          <w:b/>
          <w:bCs/>
          <w:color w:val="1C1007"/>
          <w:sz w:val="80"/>
          <w:szCs w:val="80"/>
        </w:rPr>
        <w:t xml:space="preserve">Hybrid</w:t>
      </w:r>
    </w:p>
    <w:p>
      <w:pPr>
        <w:spacing w:after="10" w:before="0"/>
      </w:pPr>
      <w:r>
        <w:rPr>
          <w:rFonts w:ascii="Arial" w:cs="Arial" w:eastAsia="Arial" w:hAnsi="Arial"/>
          <w:b/>
          <w:bCs/>
          <w:color w:val="B85C00"/>
          <w:sz w:val="72"/>
          <w:szCs w:val="72"/>
        </w:rPr>
        <w:t xml:space="preserve">Strategies</w:t>
      </w:r>
    </w:p>
    <w:p>
      <w:pPr>
        <w:spacing w:after="20" w:before="0"/>
      </w:pPr>
      <w:r>
        <w:rPr>
          <w:rFonts w:ascii="Arial" w:cs="Arial" w:eastAsia="Arial" w:hAnsi="Arial"/>
          <w:i/>
          <w:iCs/>
          <w:color w:val="6B430A"/>
          <w:sz w:val="44"/>
          <w:szCs w:val="44"/>
        </w:rPr>
        <w:t xml:space="preserve">on Polymarket</w:t>
      </w:r>
    </w:p>
    <w:p>
      <w:pPr>
        <w:pBdr>
          <w:bottom w:val="single" w:color="C87137" w:sz="6" w:space="2"/>
        </w:pBdr>
        <w:spacing w:after="60" w:before="60"/>
      </w:pPr>
      <w:r>
        <w:t xml:space="preserve"/>
      </w:r>
    </w:p>
    <w:p>
      <w:pPr>
        <w:spacing w:after="60" w:before="40"/>
      </w:pPr>
      <w:r>
        <w:rPr>
          <w:rFonts w:ascii="Arial" w:cs="Arial" w:eastAsia="Arial" w:hAnsi="Arial"/>
          <w:i/>
          <w:iCs/>
          <w:color w:val="6B430A"/>
          <w:sz w:val="24"/>
          <w:szCs w:val="24"/>
        </w:rPr>
        <w:t xml:space="preserve">Five Synergistic Combinations — Where the Whole Outperforms the Sum of its Parts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FADA9E" w:sz="1"/>
              <w:left w:val="single" w:color="FADA9E" w:sz="1"/>
              <w:bottom w:val="single" w:color="FADA9E" w:sz="1"/>
              <w:right w:val="single" w:color="FADA9E" w:sz="1"/>
            </w:tcBorders>
            <w:shd w:fill="FDEBD0" w:val="clear"/>
            <w:tcMar>
              <w:top w:type="dxa" w:w="100"/>
              <w:left w:type="dxa" w:w="80"/>
              <w:bottom w:type="dxa" w:w="100"/>
              <w:right w:type="dxa" w:w="80"/>
            </w:tcMar>
          </w:tcPr>
          <w:p>
            <w:pPr>
              <w:spacing w:after="20" w:before="60"/>
              <w:jc w:val="center"/>
            </w:pPr>
            <w:r>
              <w:rPr>
                <w:rFonts w:ascii="Arial" w:cs="Arial" w:eastAsia="Arial" w:hAnsi="Arial"/>
                <w:b/>
                <w:bCs/>
                <w:color w:val="8B4500"/>
                <w:sz w:val="30"/>
                <w:szCs w:val="30"/>
              </w:rPr>
              <w:t xml:space="preserve">5</w:t>
            </w:r>
          </w:p>
          <w:p>
            <w:pPr>
              <w:spacing w:after="60" w:before="0"/>
              <w:jc w:val="center"/>
            </w:pPr>
            <w:r>
              <w:rPr>
                <w:rFonts w:ascii="Courier New" w:cs="Courier New" w:eastAsia="Courier New" w:hAnsi="Courier New"/>
                <w:color w:val="6B430A"/>
                <w:sz w:val="15"/>
                <w:szCs w:val="15"/>
              </w:rPr>
              <w:t xml:space="preserve">HYBRID STRATEGIES</w:t>
            </w:r>
          </w:p>
        </w:tc>
        <w:tc>
          <w:tcPr>
            <w:tcW w:type="dxa" w:w="2340"/>
            <w:tcBorders>
              <w:top w:val="single" w:color="FADA9E" w:sz="1"/>
              <w:left w:val="single" w:color="FADA9E" w:sz="1"/>
              <w:bottom w:val="single" w:color="FADA9E" w:sz="1"/>
              <w:right w:val="single" w:color="FADA9E" w:sz="1"/>
            </w:tcBorders>
            <w:shd w:fill="FDEBD0" w:val="clear"/>
            <w:tcMar>
              <w:top w:type="dxa" w:w="100"/>
              <w:left w:type="dxa" w:w="80"/>
              <w:bottom w:type="dxa" w:w="100"/>
              <w:right w:type="dxa" w:w="80"/>
            </w:tcMar>
          </w:tcPr>
          <w:p>
            <w:pPr>
              <w:spacing w:after="20" w:before="60"/>
              <w:jc w:val="center"/>
            </w:pPr>
            <w:r>
              <w:rPr>
                <w:rFonts w:ascii="Arial" w:cs="Arial" w:eastAsia="Arial" w:hAnsi="Arial"/>
                <w:b/>
                <w:bCs/>
                <w:color w:val="8B4500"/>
                <w:sz w:val="30"/>
                <w:szCs w:val="30"/>
              </w:rPr>
              <w:t xml:space="preserve">Variable</w:t>
            </w:r>
          </w:p>
          <w:p>
            <w:pPr>
              <w:spacing w:after="60" w:before="0"/>
              <w:jc w:val="center"/>
            </w:pPr>
            <w:r>
              <w:rPr>
                <w:rFonts w:ascii="Courier New" w:cs="Courier New" w:eastAsia="Courier New" w:hAnsi="Courier New"/>
                <w:color w:val="6B430A"/>
                <w:sz w:val="15"/>
                <w:szCs w:val="15"/>
              </w:rPr>
              <w:t xml:space="preserve">RISK LEVEL</w:t>
            </w:r>
          </w:p>
        </w:tc>
        <w:tc>
          <w:tcPr>
            <w:tcW w:type="dxa" w:w="2340"/>
            <w:tcBorders>
              <w:top w:val="single" w:color="FADA9E" w:sz="1"/>
              <w:left w:val="single" w:color="FADA9E" w:sz="1"/>
              <w:bottom w:val="single" w:color="FADA9E" w:sz="1"/>
              <w:right w:val="single" w:color="FADA9E" w:sz="1"/>
            </w:tcBorders>
            <w:shd w:fill="FDEBD0" w:val="clear"/>
            <w:tcMar>
              <w:top w:type="dxa" w:w="100"/>
              <w:left w:type="dxa" w:w="80"/>
              <w:bottom w:type="dxa" w:w="100"/>
              <w:right w:type="dxa" w:w="80"/>
            </w:tcMar>
          </w:tcPr>
          <w:p>
            <w:pPr>
              <w:spacing w:after="20" w:before="60"/>
              <w:jc w:val="center"/>
            </w:pPr>
            <w:r>
              <w:rPr>
                <w:rFonts w:ascii="Arial" w:cs="Arial" w:eastAsia="Arial" w:hAnsi="Arial"/>
                <w:b/>
                <w:bCs/>
                <w:color w:val="8B4500"/>
                <w:sz w:val="30"/>
                <w:szCs w:val="30"/>
              </w:rPr>
              <w:t xml:space="preserve">Superior</w:t>
            </w:r>
          </w:p>
          <w:p>
            <w:pPr>
              <w:spacing w:after="60" w:before="0"/>
              <w:jc w:val="center"/>
            </w:pPr>
            <w:r>
              <w:rPr>
                <w:rFonts w:ascii="Courier New" w:cs="Courier New" w:eastAsia="Courier New" w:hAnsi="Courier New"/>
                <w:color w:val="6B430A"/>
                <w:sz w:val="15"/>
                <w:szCs w:val="15"/>
              </w:rPr>
              <w:t xml:space="preserve">RETURN POTENTIAL</w:t>
            </w:r>
          </w:p>
        </w:tc>
        <w:tc>
          <w:tcPr>
            <w:tcW w:type="dxa" w:w="2340"/>
            <w:tcBorders>
              <w:top w:val="single" w:color="FADA9E" w:sz="1"/>
              <w:left w:val="single" w:color="FADA9E" w:sz="1"/>
              <w:bottom w:val="single" w:color="FADA9E" w:sz="1"/>
              <w:right w:val="single" w:color="FADA9E" w:sz="1"/>
            </w:tcBorders>
            <w:shd w:fill="FDEBD0" w:val="clear"/>
            <w:tcMar>
              <w:top w:type="dxa" w:w="100"/>
              <w:left w:type="dxa" w:w="80"/>
              <w:bottom w:type="dxa" w:w="100"/>
              <w:right w:type="dxa" w:w="80"/>
            </w:tcMar>
          </w:tcPr>
          <w:p>
            <w:pPr>
              <w:spacing w:after="20" w:before="60"/>
              <w:jc w:val="center"/>
            </w:pPr>
            <w:r>
              <w:rPr>
                <w:rFonts w:ascii="Arial" w:cs="Arial" w:eastAsia="Arial" w:hAnsi="Arial"/>
                <w:b/>
                <w:bCs/>
                <w:color w:val="8B4500"/>
                <w:sz w:val="30"/>
                <w:szCs w:val="30"/>
              </w:rPr>
              <w:t xml:space="preserve">Partial/Full</w:t>
            </w:r>
          </w:p>
          <w:p>
            <w:pPr>
              <w:spacing w:after="60" w:before="0"/>
              <w:jc w:val="center"/>
            </w:pPr>
            <w:r>
              <w:rPr>
                <w:rFonts w:ascii="Courier New" w:cs="Courier New" w:eastAsia="Courier New" w:hAnsi="Courier New"/>
                <w:color w:val="6B430A"/>
                <w:sz w:val="15"/>
                <w:szCs w:val="15"/>
              </w:rPr>
              <w:t xml:space="preserve">AUTOMATABLE</w:t>
            </w:r>
          </w:p>
        </w:tc>
      </w:tr>
    </w:tbl>
    <w:p>
      <w:pPr>
        <w:shd w:fill="8B4500" w:val="clear"/>
        <w:spacing w:after="100" w:before="360"/>
      </w:pPr>
      <w:r>
        <w:rPr>
          <w:rFonts w:ascii="Courier New" w:cs="Courier New" w:eastAsia="Courier New" w:hAnsi="Courier New"/>
          <w:b/>
          <w:bCs/>
          <w:color w:val="FDEBD0"/>
          <w:sz w:val="17"/>
          <w:szCs w:val="17"/>
        </w:rPr>
        <w:t xml:space="preserve">  // 01 · INTRODUCTION  </w:t>
      </w:r>
    </w:p>
    <w:p>
      <w:pPr>
        <w:pStyle w:val="Heading1"/>
        <w:pBdr>
          <w:bottom w:val="single" w:color="C87137" w:sz="8" w:space="3"/>
        </w:pBdr>
        <w:spacing w:after="140" w:before="280"/>
      </w:pPr>
      <w:r>
        <w:rPr>
          <w:rFonts w:ascii="Arial" w:cs="Arial" w:eastAsia="Arial" w:hAnsi="Arial"/>
          <w:b/>
          <w:bCs/>
          <w:color w:val="1C1007"/>
          <w:sz w:val="40"/>
          <w:szCs w:val="40"/>
        </w:rPr>
        <w:t xml:space="preserve">What are Hybrid Strategies — and Why Do They Outperform?</w:t>
      </w:r>
    </w:p>
    <w:p>
      <w:pPr>
        <w:spacing w:after="60" w:before="60"/>
      </w:pPr>
      <w:r>
        <w:rPr>
          <w:rFonts w:ascii="Arial" w:cs="Arial" w:eastAsia="Arial" w:hAnsi="Arial"/>
          <w:color w:val="3B2005"/>
          <w:sz w:val="22"/>
          <w:szCs w:val="22"/>
        </w:rPr>
        <w:t xml:space="preserve">The five strategy groups that precede Group 6 each represent a </w:t>
      </w:r>
      <w:r>
        <w:rPr>
          <w:rFonts w:ascii="Arial" w:cs="Arial" w:eastAsia="Arial" w:hAnsi="Arial"/>
          <w:b/>
          <w:bCs/>
          <w:color w:val="1C1007"/>
          <w:sz w:val="22"/>
          <w:szCs w:val="22"/>
        </w:rPr>
        <w:t xml:space="preserve">pure play</w:t>
      </w:r>
      <w:r>
        <w:rPr>
          <w:rFonts w:ascii="Arial" w:cs="Arial" w:eastAsia="Arial" w:hAnsi="Arial"/>
          <w:color w:val="3B2005"/>
          <w:sz w:val="22"/>
          <w:szCs w:val="22"/>
        </w:rPr>
        <w:t xml:space="preserve"> on a single market mechanism: mathematical arbitrage, liquidity provision, price-movement trading, portfolio hedging, or automated AI systems. Each is powerful in isolation. But each also carries specific weaknesses — failure modes that emerge precisely because the strategy relies on only one mechanism at a time.</w:t>
      </w:r>
    </w:p>
    <w:p>
      <w:pPr>
        <w:spacing w:after="0" w:before="50"/>
      </w:pPr>
      <w:r>
        <w:t xml:space="preserve"/>
      </w:r>
    </w:p>
    <w:p>
      <w:pPr>
        <w:spacing w:after="60" w:before="60"/>
      </w:pPr>
      <w:r>
        <w:rPr>
          <w:rFonts w:ascii="Arial" w:cs="Arial" w:eastAsia="Arial" w:hAnsi="Arial"/>
          <w:color w:val="3B2005"/>
          <w:sz w:val="22"/>
          <w:szCs w:val="22"/>
        </w:rPr>
        <w:t xml:space="preserve">Group 6 applies a principle familiar to engineers and portfolio managers alike: </w:t>
      </w:r>
      <w:r>
        <w:rPr>
          <w:rFonts w:ascii="Arial" w:cs="Arial" w:eastAsia="Arial" w:hAnsi="Arial"/>
          <w:b/>
          <w:bCs/>
          <w:color w:val="1C1007"/>
          <w:sz w:val="22"/>
          <w:szCs w:val="22"/>
        </w:rPr>
        <w:t xml:space="preserve">strategic combination reduces individual weaknesses while amplifying individual strengths.</w:t>
      </w:r>
      <w:r>
        <w:rPr>
          <w:rFonts w:ascii="Arial" w:cs="Arial" w:eastAsia="Arial" w:hAnsi="Arial"/>
          <w:color w:val="3B2005"/>
          <w:sz w:val="22"/>
          <w:szCs w:val="22"/>
        </w:rPr>
        <w:t xml:space="preserve"> A hybrid strategy does not simply run two strategies in parallel. It uses each component </w:t>
      </w:r>
      <w:r>
        <w:rPr>
          <w:rFonts w:ascii="Arial" w:cs="Arial" w:eastAsia="Arial" w:hAnsi="Arial"/>
          <w:i/>
          <w:iCs/>
          <w:color w:val="6B430A"/>
          <w:sz w:val="22"/>
          <w:szCs w:val="22"/>
        </w:rPr>
        <w:t xml:space="preserve">to compensate for the specific failure mode of the other</w:t>
      </w:r>
      <w:r>
        <w:rPr>
          <w:rFonts w:ascii="Arial" w:cs="Arial" w:eastAsia="Arial" w:hAnsi="Arial"/>
          <w:color w:val="3B2005"/>
          <w:sz w:val="22"/>
          <w:szCs w:val="22"/>
        </w:rPr>
        <w:t xml:space="preserve">, creating a system whose risk-adjusted return is genuinely superior to either strategy executed alone. This is synergy in the precise mathematical sense — the combined outcome exceeds the weighted average of the individual outcomes.</w:t>
      </w:r>
    </w:p>
    <w:p>
      <w:pPr>
        <w:spacing w:after="0" w:before="50"/>
      </w:pPr>
      <w:r>
        <w:t xml:space="preserve"/>
      </w:r>
    </w:p>
    <w:p>
      <w:pPr>
        <w:spacing w:after="60" w:before="60"/>
      </w:pPr>
      <w:r>
        <w:rPr>
          <w:rFonts w:ascii="Arial" w:cs="Arial" w:eastAsia="Arial" w:hAnsi="Arial"/>
          <w:color w:val="3B2005"/>
          <w:sz w:val="22"/>
          <w:szCs w:val="22"/>
        </w:rPr>
        <w:t xml:space="preserve">The five hybrid strategies in this group cover the full spectrum of investor profiles and market conditions:</w:t>
      </w:r>
    </w:p>
    <w:p>
      <w:pPr>
        <w:spacing w:after="0" w:before="30"/>
      </w:pPr>
      <w:r>
        <w:t xml:space="preserve"/>
      </w:r>
    </w:p>
    <w:p>
      <w:pPr>
        <w:pStyle w:val="ListParagraph"/>
        <w:numPr>
          <w:ilvl w:val="0"/>
          <w:numId w:val="2"/>
        </w:numPr>
        <w:spacing w:after="50" w:before="50"/>
      </w:pPr>
      <w:r>
        <w:rPr>
          <w:rFonts w:ascii="Arial" w:cs="Arial" w:eastAsia="Arial" w:hAnsi="Arial"/>
          <w:b/>
          <w:bCs/>
          <w:color w:val="1C1007"/>
          <w:sz w:val="22"/>
          <w:szCs w:val="22"/>
        </w:rPr>
        <w:t xml:space="preserve">HYB-01: </w:t>
      </w:r>
      <w:r>
        <w:rPr>
          <w:rFonts w:ascii="Arial" w:cs="Arial" w:eastAsia="Arial" w:hAnsi="Arial"/>
          <w:color w:val="3B2005"/>
          <w:sz w:val="22"/>
          <w:szCs w:val="22"/>
        </w:rPr>
        <w:t xml:space="preserve">The defensive minting strategy — combining premium positioning with sweet-spot LP Rewards to produce consistent, robust yield without compounding dependency.</w:t>
      </w:r>
    </w:p>
    <w:p>
      <w:pPr>
        <w:pStyle w:val="ListParagraph"/>
        <w:numPr>
          <w:ilvl w:val="0"/>
          <w:numId w:val="2"/>
        </w:numPr>
        <w:spacing w:after="50" w:before="50"/>
      </w:pPr>
      <w:r>
        <w:rPr>
          <w:rFonts w:ascii="Arial" w:cs="Arial" w:eastAsia="Arial" w:hAnsi="Arial"/>
          <w:b/>
          <w:bCs/>
          <w:color w:val="1C1007"/>
          <w:sz w:val="22"/>
          <w:szCs w:val="22"/>
        </w:rPr>
        <w:t xml:space="preserve">HYB-02: </w:t>
      </w:r>
      <w:r>
        <w:rPr>
          <w:rFonts w:ascii="Arial" w:cs="Arial" w:eastAsia="Arial" w:hAnsi="Arial"/>
          <w:color w:val="3B2005"/>
          <w:sz w:val="22"/>
          <w:szCs w:val="22"/>
        </w:rPr>
        <w:t xml:space="preserve">The protected arbitrage — wrapping mathematically guaranteed arbitrage with dynamic hedging to eliminate the 13% partial-execution failure rate.</w:t>
      </w:r>
    </w:p>
    <w:p>
      <w:pPr>
        <w:pStyle w:val="ListParagraph"/>
        <w:numPr>
          <w:ilvl w:val="0"/>
          <w:numId w:val="2"/>
        </w:numPr>
        <w:spacing w:after="50" w:before="50"/>
      </w:pPr>
      <w:r>
        <w:rPr>
          <w:rFonts w:ascii="Arial" w:cs="Arial" w:eastAsia="Arial" w:hAnsi="Arial"/>
          <w:b/>
          <w:bCs/>
          <w:color w:val="1C1007"/>
          <w:sz w:val="22"/>
          <w:szCs w:val="22"/>
        </w:rPr>
        <w:t xml:space="preserve">HYB-03: </w:t>
      </w:r>
      <w:r>
        <w:rPr>
          <w:rFonts w:ascii="Arial" w:cs="Arial" w:eastAsia="Arial" w:hAnsi="Arial"/>
          <w:color w:val="3B2005"/>
          <w:sz w:val="22"/>
          <w:szCs w:val="22"/>
        </w:rPr>
        <w:t xml:space="preserve">The double-confirmed signal — requiring both fair-value divergence AND momentum confirmation before entering, dramatically reducing false positives.</w:t>
      </w:r>
    </w:p>
    <w:p>
      <w:pPr>
        <w:pStyle w:val="ListParagraph"/>
        <w:numPr>
          <w:ilvl w:val="0"/>
          <w:numId w:val="2"/>
        </w:numPr>
        <w:spacing w:after="50" w:before="50"/>
      </w:pPr>
      <w:r>
        <w:rPr>
          <w:rFonts w:ascii="Arial" w:cs="Arial" w:eastAsia="Arial" w:hAnsi="Arial"/>
          <w:b/>
          <w:bCs/>
          <w:color w:val="1C1007"/>
          <w:sz w:val="22"/>
          <w:szCs w:val="22"/>
        </w:rPr>
        <w:t xml:space="preserve">HYB-04: </w:t>
      </w:r>
      <w:r>
        <w:rPr>
          <w:rFonts w:ascii="Arial" w:cs="Arial" w:eastAsia="Arial" w:hAnsi="Arial"/>
          <w:color w:val="3B2005"/>
          <w:sz w:val="22"/>
          <w:szCs w:val="22"/>
        </w:rPr>
        <w:t xml:space="preserve">The validated copy-trade — filtering whale replication through an independent probability model, eliminating blind-following risk.</w:t>
      </w:r>
    </w:p>
    <w:p>
      <w:pPr>
        <w:pStyle w:val="ListParagraph"/>
        <w:numPr>
          <w:ilvl w:val="0"/>
          <w:numId w:val="2"/>
        </w:numPr>
        <w:spacing w:after="50" w:before="50"/>
      </w:pPr>
      <w:r>
        <w:rPr>
          <w:rFonts w:ascii="Arial" w:cs="Arial" w:eastAsia="Arial" w:hAnsi="Arial"/>
          <w:b/>
          <w:bCs/>
          <w:color w:val="1C1007"/>
          <w:sz w:val="22"/>
          <w:szCs w:val="22"/>
        </w:rPr>
        <w:t xml:space="preserve">HYB-05: </w:t>
      </w:r>
      <w:r>
        <w:rPr>
          <w:rFonts w:ascii="Arial" w:cs="Arial" w:eastAsia="Arial" w:hAnsi="Arial"/>
          <w:color w:val="3B2005"/>
          <w:sz w:val="22"/>
          <w:szCs w:val="22"/>
        </w:rPr>
        <w:t xml:space="preserve">The dynamic compounding engine — combining systematic reinvestment with AI-driven market rotation to optimize every cycle for maximum yield.</w:t>
      </w:r>
    </w:p>
    <w:p>
      <w:pPr>
        <w:spacing w:after="0" w:before="60"/>
      </w:pPr>
      <w:r>
        <w:t xml:space="preserve"/>
      </w:r>
    </w:p>
    <w:p>
      <w:pPr>
        <w:spacing w:after="60" w:before="60"/>
      </w:pPr>
      <w:r>
        <w:rPr>
          <w:rFonts w:ascii="Arial" w:cs="Arial" w:eastAsia="Arial" w:hAnsi="Arial"/>
          <w:b/>
          <w:bCs/>
          <w:color w:val="1C1007"/>
          <w:sz w:val="22"/>
          <w:szCs w:val="22"/>
        </w:rPr>
        <w:t xml:space="preserve">Why does this matter for investors? </w:t>
      </w:r>
      <w:r>
        <w:rPr>
          <w:rFonts w:ascii="Arial" w:cs="Arial" w:eastAsia="Arial" w:hAnsi="Arial"/>
          <w:color w:val="3B2005"/>
          <w:sz w:val="22"/>
          <w:szCs w:val="22"/>
        </w:rPr>
        <w:t xml:space="preserve">Every pure strategy in the catalog has a specific condition under which it fails. MINT-04 fails when orders are placed in an illiquid market. ARB-01 fails on partial execution. IA-02 fails when a whale is operating on questionable information. Hybrid strategies are </w:t>
      </w:r>
      <w:r>
        <w:rPr>
          <w:rFonts w:ascii="Arial" w:cs="Arial" w:eastAsia="Arial" w:hAnsi="Arial"/>
          <w:b/>
          <w:bCs/>
          <w:color w:val="1C1007"/>
          <w:sz w:val="22"/>
          <w:szCs w:val="22"/>
        </w:rPr>
        <w:t xml:space="preserve">architecturally designed to prevent these failure modes</w:t>
      </w:r>
      <w:r>
        <w:rPr>
          <w:rFonts w:ascii="Arial" w:cs="Arial" w:eastAsia="Arial" w:hAnsi="Arial"/>
          <w:color w:val="3B2005"/>
          <w:sz w:val="22"/>
          <w:szCs w:val="22"/>
        </w:rPr>
        <w:t xml:space="preserve"> rather than simply hoping they do not occur. For serious investors deploying capital above $10,000, the marginal complexity of a hybrid approach is far outweighed by the reduction in catastrophic failure risk.</w:t>
      </w:r>
    </w:p>
    <w:p>
      <w:pPr>
        <w:spacing w:after="0" w:before="50"/>
      </w:pPr>
      <w:r>
        <w:t xml:space="preserve"/>
      </w:r>
    </w:p>
    <w:p>
      <w:pPr>
        <w:spacing w:after="60" w:before="60"/>
      </w:pPr>
      <w:r>
        <w:rPr>
          <w:rFonts w:ascii="Arial" w:cs="Arial" w:eastAsia="Arial" w:hAnsi="Arial"/>
          <w:color w:val="3B2005"/>
          <w:sz w:val="22"/>
          <w:szCs w:val="22"/>
        </w:rPr>
        <w:t xml:space="preserve">The intellectual framework behind Group 6 is the same one that underlies diversified investment portfolios, redundant engineering systems, and risk-layered financial products: </w:t>
      </w:r>
      <w:r>
        <w:rPr>
          <w:rFonts w:ascii="Arial" w:cs="Arial" w:eastAsia="Arial" w:hAnsi="Arial"/>
          <w:b/>
          <w:bCs/>
          <w:color w:val="1C1007"/>
          <w:sz w:val="22"/>
          <w:szCs w:val="22"/>
        </w:rPr>
        <w:t xml:space="preserve">no single mechanism is sufficient; resilience comes from thoughtfully designed combinations.</w:t>
      </w:r>
      <w:r>
        <w:rPr>
          <w:rFonts w:ascii="Arial" w:cs="Arial" w:eastAsia="Arial" w:hAnsi="Arial"/>
          <w:color w:val="3B2005"/>
          <w:sz w:val="22"/>
          <w:szCs w:val="22"/>
        </w:rPr>
        <w:t xml:space="preserve"> The five strategies here represent the most impactful combinations identified in the Proyect_Moni analysis — each resolving a specific, documented failure mode of its component strategies.</w:t>
      </w:r>
    </w:p>
    <w:p>
      <w:pPr>
        <w:spacing w:after="0" w:before="40"/>
      </w:pPr>
      <w:r>
        <w:t xml:space="preserve"/>
      </w:r>
    </w:p>
    <w:p>
      <w:pPr>
        <w:pBdr>
          <w:left w:val="single" w:color="854D0E" w:sz="16"/>
        </w:pBdr>
        <w:shd w:fill="FEF9C3" w:val="clear"/>
        <w:spacing w:after="50" w:before="80"/>
        <w:ind w:left="200"/>
      </w:pPr>
      <w:r>
        <w:rPr>
          <w:rFonts w:ascii="Courier New" w:cs="Courier New" w:eastAsia="Courier New" w:hAnsi="Courier New"/>
          <w:b/>
          <w:bCs/>
          <w:color w:val="854D0E"/>
          <w:sz w:val="16"/>
          <w:szCs w:val="16"/>
        </w:rPr>
        <w:t xml:space="preserve">DISCLAIMER</w:t>
      </w:r>
    </w:p>
    <w:p>
      <w:pPr>
        <w:pBdr>
          <w:left w:val="single" w:color="854D0E" w:sz="16"/>
        </w:pBdr>
        <w:shd w:fill="FEF9C3" w:val="clear"/>
        <w:spacing w:after="40" w:before="40"/>
        <w:ind w:left="200"/>
      </w:pPr>
      <w:r>
        <w:rPr>
          <w:rFonts w:ascii="Arial" w:cs="Arial" w:eastAsia="Arial" w:hAnsi="Arial"/>
          <w:color w:val="3B2005"/>
          <w:sz w:val="21"/>
          <w:szCs w:val="21"/>
        </w:rPr>
        <w:t xml:space="preserve">This document is technical and educational in nature. It does not constitute investment advice. Hybrid strategies involve real capital risk. Their effectiveness depends on the correct execution of all component strategies simultaneously. Failure in any single component affects the combined result.</w:t>
      </w:r>
    </w:p>
    <w:p>
      <w:pPr>
        <w:pBdr>
          <w:left w:val="single" w:color="854D0E" w:sz="16"/>
        </w:pBdr>
        <w:shd w:fill="FEF9C3" w:val="clear"/>
        <w:spacing w:after="60" w:before="40"/>
        <w:ind w:left="200"/>
      </w:pPr>
      <w:r>
        <w:t xml:space="preserve"/>
      </w:r>
    </w:p>
    <w:p>
      <w:pPr>
        <w:shd w:fill="8B4500" w:val="clear"/>
        <w:spacing w:after="100" w:before="360"/>
      </w:pPr>
      <w:r>
        <w:rPr>
          <w:rFonts w:ascii="Courier New" w:cs="Courier New" w:eastAsia="Courier New" w:hAnsi="Courier New"/>
          <w:b/>
          <w:bCs/>
          <w:color w:val="FDEBD0"/>
          <w:sz w:val="17"/>
          <w:szCs w:val="17"/>
        </w:rPr>
        <w:t xml:space="preserve">  // 02 · STRATEGY DETAILS  </w:t>
      </w:r>
    </w:p>
    <w:p>
      <w:pPr>
        <w:pStyle w:val="Heading1"/>
        <w:pBdr>
          <w:bottom w:val="single" w:color="C87137" w:sz="8" w:space="3"/>
        </w:pBdr>
        <w:spacing w:after="140" w:before="280"/>
      </w:pPr>
      <w:r>
        <w:rPr>
          <w:rFonts w:ascii="Arial" w:cs="Arial" w:eastAsia="Arial" w:hAnsi="Arial"/>
          <w:b/>
          <w:bCs/>
          <w:color w:val="1C1007"/>
          <w:sz w:val="40"/>
          <w:szCs w:val="40"/>
        </w:rPr>
        <w:t xml:space="preserve">How to Execute Each Hybrid Strategy</w:t>
      </w:r>
    </w:p>
    <w:p>
      <w:pPr>
        <w:spacing w:after="60" w:before="60"/>
      </w:pPr>
      <w:r>
        <w:rPr>
          <w:rFonts w:ascii="Arial" w:cs="Arial" w:eastAsia="Arial" w:hAnsi="Arial"/>
          <w:color w:val="3B2005"/>
          <w:sz w:val="22"/>
          <w:szCs w:val="22"/>
        </w:rPr>
        <w:t xml:space="preserve">Each of the five Group 6 strategies is presented with its component logic, synergy mechanism, step-by-step execution, and a verified numerical example.</w:t>
      </w:r>
    </w:p>
    <w:p>
      <w:pPr>
        <w:shd w:fill="7C3D00" w:val="clear"/>
        <w:spacing w:after="0" w:before="320"/>
      </w:pPr>
      <w:r>
        <w:rPr>
          <w:rFonts w:ascii="Courier New" w:cs="Courier New" w:eastAsia="Courier New" w:hAnsi="Courier New"/>
          <w:b/>
          <w:bCs/>
          <w:color w:val="FDEBD0"/>
          <w:sz w:val="22"/>
          <w:szCs w:val="22"/>
        </w:rPr>
        <w:t xml:space="preserve">  HYB-01  </w:t>
      </w:r>
      <w:r>
        <w:rPr>
          <w:rFonts w:ascii="Arial" w:cs="Arial" w:eastAsia="Arial" w:hAnsi="Arial"/>
          <w:b/>
          <w:bCs/>
          <w:color w:val="FFFFFF"/>
          <w:sz w:val="28"/>
          <w:szCs w:val="28"/>
        </w:rPr>
        <w:t xml:space="preserve">  Optimized Minting + LP Rewards</w:t>
      </w:r>
    </w:p>
    <w:p>
      <w:pPr>
        <w:shd w:fill="FDEBD0" w:val="clear"/>
        <w:spacing w:after="120" w:before="0"/>
      </w:pPr>
      <w:r>
        <w:rPr>
          <w:rFonts w:ascii="Arial" w:cs="Arial" w:eastAsia="Arial" w:hAnsi="Arial"/>
          <w:i/>
          <w:iCs/>
          <w:color w:val="8B4500"/>
          <w:sz w:val="20"/>
          <w:szCs w:val="20"/>
        </w:rPr>
        <w:t xml:space="preserve">  Sweet spot positioning that captures guaranteed spread AND maximizes LP Rewards simultaneously.</w:t>
      </w:r>
    </w:p>
    <w:p>
      <w:pPr>
        <w:spacing w:after="60" w:before="60"/>
      </w:pPr>
      <w:r>
        <w:rPr>
          <w:rFonts w:ascii="Arial" w:cs="Arial" w:eastAsia="Arial" w:hAnsi="Arial"/>
          <w:color w:val="3B2005"/>
          <w:sz w:val="22"/>
          <w:szCs w:val="22"/>
        </w:rPr>
        <w:t xml:space="preserve">HYB-01 resolves the fundamental tension in Group 2: MINT-04 (premium +0.75c) maximizes spread capture but sacrifices Proximity Factor to 0.55x; MINT-03 (midpoint) maximizes LP Rewards but generates trading losses in liquid markets. The hybrid operates in the </w:t>
      </w:r>
      <w:r>
        <w:rPr>
          <w:rFonts w:ascii="Arial" w:cs="Arial" w:eastAsia="Arial" w:hAnsi="Arial"/>
          <w:b/>
          <w:bCs/>
          <w:color w:val="1C1007"/>
          <w:sz w:val="22"/>
          <w:szCs w:val="22"/>
        </w:rPr>
        <w:t xml:space="preserve">0.25c–0.50c zone</w:t>
      </w:r>
      <w:r>
        <w:rPr>
          <w:rFonts w:ascii="Arial" w:cs="Arial" w:eastAsia="Arial" w:hAnsi="Arial"/>
          <w:color w:val="3B2005"/>
          <w:sz w:val="22"/>
          <w:szCs w:val="22"/>
        </w:rPr>
        <w:t xml:space="preserve"> that simultaneously guarantees a positive spread AND retains LP Rewards at 70–85% of the maximum. This is not a compromise — it is the </w:t>
      </w:r>
      <w:r>
        <w:rPr>
          <w:rFonts w:ascii="Arial" w:cs="Arial" w:eastAsia="Arial" w:hAnsi="Arial"/>
          <w:b/>
          <w:bCs/>
          <w:color w:val="1C1007"/>
          <w:sz w:val="22"/>
          <w:szCs w:val="22"/>
        </w:rPr>
        <w:t xml:space="preserve">mathematically optimal point</w:t>
      </w:r>
      <w:r>
        <w:rPr>
          <w:rFonts w:ascii="Arial" w:cs="Arial" w:eastAsia="Arial" w:hAnsi="Arial"/>
          <w:color w:val="3B2005"/>
          <w:sz w:val="22"/>
          <w:szCs w:val="22"/>
        </w:rPr>
        <w:t xml:space="preserve"> on the spread/rewards trade-off curve for medium-liquidity markets.</w:t>
      </w:r>
    </w:p>
    <w:p>
      <w:pPr>
        <w:spacing w:after="0" w:before="40"/>
      </w:pPr>
      <w:r>
        <w:t xml:space="preserve"/>
      </w:r>
    </w:p>
    <w:p>
      <w:pPr>
        <w:spacing w:after="60" w:before="60"/>
      </w:pPr>
      <w:r>
        <w:rPr>
          <w:rFonts w:ascii="Arial" w:cs="Arial" w:eastAsia="Arial" w:hAnsi="Arial"/>
          <w:b/>
          <w:bCs/>
          <w:color w:val="1C1007"/>
          <w:sz w:val="22"/>
          <w:szCs w:val="22"/>
        </w:rPr>
        <w:t xml:space="preserve">Why this combination outperforms: </w:t>
      </w:r>
      <w:r>
        <w:rPr>
          <w:rFonts w:ascii="Arial" w:cs="Arial" w:eastAsia="Arial" w:hAnsi="Arial"/>
          <w:color w:val="3B2005"/>
          <w:sz w:val="22"/>
          <w:szCs w:val="22"/>
        </w:rPr>
        <w:t xml:space="preserve">MINT-04 alone generates +$13.30/cycle but earns only $0.275/day in LP Rewards. MINT-03 alone earns $0.50/day in LP Rewards but loses $1.21/cycle when executed. HYB-01 at +0.40c generates approximately +$9–11/cycle in spread AND $0.35–0.42/day in LP Rewards — a </w:t>
      </w:r>
      <w:r>
        <w:rPr>
          <w:rFonts w:ascii="Arial" w:cs="Arial" w:eastAsia="Arial" w:hAnsi="Arial"/>
          <w:b/>
          <w:bCs/>
          <w:color w:val="1C1007"/>
          <w:sz w:val="22"/>
          <w:szCs w:val="22"/>
        </w:rPr>
        <w:t xml:space="preserve">total that beats either pure strategy</w:t>
      </w:r>
      <w:r>
        <w:rPr>
          <w:rFonts w:ascii="Arial" w:cs="Arial" w:eastAsia="Arial" w:hAnsi="Arial"/>
          <w:color w:val="3B2005"/>
          <w:sz w:val="22"/>
          <w:szCs w:val="22"/>
        </w:rPr>
        <w:t xml:space="preserve"> in medium-liquidity conditions. The APY projection of 26–28% annually reflects this balanced optimization.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ADA9E" w:sz="1"/>
              <w:left w:val="single" w:color="FADA9E" w:sz="1"/>
              <w:bottom w:val="single" w:color="FADA9E" w:sz="1"/>
              <w:right w:val="single" w:color="FADA9E" w:sz="1"/>
            </w:tcBorders>
            <w:shd w:fill="FDEBD0" w:val="clear"/>
            <w:tcMar>
              <w:top w:type="dxa" w:w="140"/>
              <w:left w:type="dxa" w:w="180"/>
              <w:bottom w:type="dxa" w:w="140"/>
              <w:right w:type="dxa" w:w="180"/>
            </w:tcMar>
          </w:tcPr>
          <w:p>
            <w:pPr>
              <w:spacing w:after="100" w:before="40"/>
            </w:pPr>
            <w:r>
              <w:rPr>
                <w:rFonts w:ascii="Courier New" w:cs="Courier New" w:eastAsia="Courier New" w:hAnsi="Courier New"/>
                <w:b/>
                <w:bCs/>
                <w:color w:val="7C3D00"/>
                <w:sz w:val="17"/>
                <w:szCs w:val="17"/>
              </w:rPr>
              <w:t xml:space="preserve">EXECUTION STEPS</w:t>
            </w:r>
          </w:p>
          <w:p>
            <w:pPr>
              <w:spacing w:after="55" w:before="55"/>
            </w:pPr>
            <w:r>
              <w:rPr>
                <w:rFonts w:ascii="Courier New" w:cs="Courier New" w:eastAsia="Courier New" w:hAnsi="Courier New"/>
                <w:b/>
                <w:bCs/>
                <w:color w:val="B85C00"/>
                <w:sz w:val="20"/>
                <w:szCs w:val="20"/>
              </w:rPr>
              <w:t xml:space="preserve">1.  </w:t>
            </w:r>
            <w:r>
              <w:rPr>
                <w:rFonts w:ascii="Arial" w:cs="Arial" w:eastAsia="Arial" w:hAnsi="Arial"/>
                <w:color w:val="3B2005"/>
                <w:sz w:val="21"/>
                <w:szCs w:val="21"/>
              </w:rPr>
              <w:t xml:space="preserve">Identify a market with medium liquidity: daily volume $2,000–$15,000. High-volume markets favor MINT-04 pure; low-volume markets favor MINT-03 pure. The hybrid sweet spot is medium volume.</w:t>
            </w:r>
          </w:p>
          <w:p>
            <w:pPr>
              <w:spacing w:after="55" w:before="55"/>
            </w:pPr>
            <w:r>
              <w:rPr>
                <w:rFonts w:ascii="Courier New" w:cs="Courier New" w:eastAsia="Courier New" w:hAnsi="Courier New"/>
                <w:b/>
                <w:bCs/>
                <w:color w:val="B85C00"/>
                <w:sz w:val="20"/>
                <w:szCs w:val="20"/>
              </w:rPr>
              <w:t xml:space="preserve">2.  </w:t>
            </w:r>
            <w:r>
              <w:rPr>
                <w:rFonts w:ascii="Arial" w:cs="Arial" w:eastAsia="Arial" w:hAnsi="Arial"/>
                <w:color w:val="3B2005"/>
                <w:sz w:val="21"/>
                <w:szCs w:val="21"/>
              </w:rPr>
              <w:t xml:space="preserve">Get the current midpoint: midpoint = (best_bid + best_ask) / 2. For a market where YES best_bid=0.565 and best_ask=0.585, midpoint = 0.575.</w:t>
            </w:r>
          </w:p>
          <w:p>
            <w:pPr>
              <w:spacing w:after="55" w:before="55"/>
            </w:pPr>
            <w:r>
              <w:rPr>
                <w:rFonts w:ascii="Courier New" w:cs="Courier New" w:eastAsia="Courier New" w:hAnsi="Courier New"/>
                <w:b/>
                <w:bCs/>
                <w:color w:val="B85C00"/>
                <w:sz w:val="20"/>
                <w:szCs w:val="20"/>
              </w:rPr>
              <w:t xml:space="preserve">3.  </w:t>
            </w:r>
            <w:r>
              <w:rPr>
                <w:rFonts w:ascii="Arial" w:cs="Arial" w:eastAsia="Arial" w:hAnsi="Arial"/>
                <w:color w:val="3B2005"/>
                <w:sz w:val="21"/>
                <w:szCs w:val="21"/>
              </w:rPr>
              <w:t xml:space="preserve">Calculate sweet spot prices: YES_sell = midpoint + 0.004 (0.40c above). NO_sell = (1 - midpoint) + 0.004. Example: YES_sell = 0.579, NO_sell = 0.429.</w:t>
            </w:r>
          </w:p>
          <w:p>
            <w:pPr>
              <w:spacing w:after="55" w:before="55"/>
            </w:pPr>
            <w:r>
              <w:rPr>
                <w:rFonts w:ascii="Courier New" w:cs="Courier New" w:eastAsia="Courier New" w:hAnsi="Courier New"/>
                <w:b/>
                <w:bCs/>
                <w:color w:val="B85C00"/>
                <w:sz w:val="20"/>
                <w:szCs w:val="20"/>
              </w:rPr>
              <w:t xml:space="preserve">4.  </w:t>
            </w:r>
            <w:r>
              <w:rPr>
                <w:rFonts w:ascii="Arial" w:cs="Arial" w:eastAsia="Arial" w:hAnsi="Arial"/>
                <w:color w:val="3B2005"/>
                <w:sz w:val="21"/>
                <w:szCs w:val="21"/>
              </w:rPr>
              <w:t xml:space="preserve">Verify spread coverage: (YES_sell + NO_sell) - $1.00 - fees must be positive. Example: (0.579 + 0.429) - 1.00 - 0.0017 = +$0.0063 per token. On 1,000 tokens: +$6.30 guaranteed.</w:t>
            </w:r>
          </w:p>
          <w:p>
            <w:pPr>
              <w:spacing w:after="55" w:before="55"/>
            </w:pPr>
            <w:r>
              <w:rPr>
                <w:rFonts w:ascii="Courier New" w:cs="Courier New" w:eastAsia="Courier New" w:hAnsi="Courier New"/>
                <w:b/>
                <w:bCs/>
                <w:color w:val="B85C00"/>
                <w:sz w:val="20"/>
                <w:szCs w:val="20"/>
              </w:rPr>
              <w:t xml:space="preserve">5.  </w:t>
            </w:r>
            <w:r>
              <w:rPr>
                <w:rFonts w:ascii="Arial" w:cs="Arial" w:eastAsia="Arial" w:hAnsi="Arial"/>
                <w:color w:val="3B2005"/>
                <w:sz w:val="21"/>
                <w:szCs w:val="21"/>
              </w:rPr>
              <w:t xml:space="preserve">Mint $1,000 USDC via the CTF contract on Polygon. Place sell YES @ 0.579 and sell NO @ 0.429 simultaneously. Proximity Factor at 0.40c: approximately 0.75x.</w:t>
            </w:r>
          </w:p>
          <w:p>
            <w:pPr>
              <w:spacing w:after="55" w:before="55"/>
            </w:pPr>
            <w:r>
              <w:rPr>
                <w:rFonts w:ascii="Courier New" w:cs="Courier New" w:eastAsia="Courier New" w:hAnsi="Courier New"/>
                <w:b/>
                <w:bCs/>
                <w:color w:val="B85C00"/>
                <w:sz w:val="20"/>
                <w:szCs w:val="20"/>
              </w:rPr>
              <w:t xml:space="preserve">6.  </w:t>
            </w:r>
            <w:r>
              <w:rPr>
                <w:rFonts w:ascii="Arial" w:cs="Arial" w:eastAsia="Arial" w:hAnsi="Arial"/>
                <w:color w:val="3B2005"/>
                <w:sz w:val="21"/>
                <w:szCs w:val="21"/>
              </w:rPr>
              <w:t xml:space="preserve">Monitor LP Score daily. If market liquidity increases (orders filling faster), shift to MINT-04 (+0.75c). If liquidity decreases (orders dormant 48h+), shift to MINT-03 (midpoint).</w:t>
            </w:r>
          </w:p>
        </w:tc>
        <w:tc>
          <w:tcPr>
            <w:tcW w:type="dxa" w:w="4680"/>
            <w:tcBorders>
              <w:top w:val="single" w:color="FADA9E" w:sz="1"/>
              <w:left w:val="single" w:color="FADA9E" w:sz="1"/>
              <w:bottom w:val="single" w:color="FADA9E" w:sz="1"/>
              <w:right w:val="single" w:color="FADA9E" w:sz="1"/>
            </w:tcBorders>
            <w:shd w:fill="FEF3E2" w:val="clear"/>
            <w:tcMar>
              <w:top w:type="dxa" w:w="140"/>
              <w:left w:type="dxa" w:w="180"/>
              <w:bottom w:type="dxa" w:w="140"/>
              <w:right w:type="dxa" w:w="180"/>
            </w:tcMar>
          </w:tcPr>
          <w:p>
            <w:pPr>
              <w:spacing w:after="100" w:before="40"/>
            </w:pPr>
            <w:r>
              <w:rPr>
                <w:rFonts w:ascii="Courier New" w:cs="Courier New" w:eastAsia="Courier New" w:hAnsi="Courier New"/>
                <w:b/>
                <w:bCs/>
                <w:color w:val="B85C00"/>
                <w:sz w:val="17"/>
                <w:szCs w:val="17"/>
              </w:rPr>
              <w:t xml:space="preserve">NUMERICAL EXAMPLE</w:t>
            </w:r>
          </w:p>
          <w:p>
            <w:pPr>
              <w:shd w:fill="8B4500" w:val="clear"/>
              <w:spacing w:after="28" w:before="28"/>
            </w:pPr>
            <w:r>
              <w:rPr>
                <w:rFonts w:ascii="Courier New" w:cs="Courier New" w:eastAsia="Courier New" w:hAnsi="Courier New"/>
                <w:b/>
                <w:bCs/>
                <w:color w:val="FDEBD0"/>
                <w:sz w:val="19"/>
                <w:szCs w:val="19"/>
              </w:rPr>
              <w:t xml:space="preserve">  MARKET: State election — medium volume</w:t>
            </w:r>
          </w:p>
          <w:p>
            <w:pPr>
              <w:shd w:fill="FFFBF4" w:val="clear"/>
              <w:spacing w:after="28" w:before="28"/>
            </w:pPr>
            <w:r>
              <w:rPr>
                <w:rFonts w:ascii="Courier New" w:cs="Courier New" w:eastAsia="Courier New" w:hAnsi="Courier New"/>
                <w:b w:val="false"/>
                <w:bCs w:val="false"/>
                <w:color w:val="3B2005"/>
                <w:sz w:val="19"/>
                <w:szCs w:val="19"/>
              </w:rPr>
              <w:t xml:space="preserve">  Daily volume: ~$6,400  |  Midpoint: 0.575</w:t>
            </w:r>
          </w:p>
          <w:p>
            <w:pPr>
              <w:shd w:fill="FFFBF4" w:val="clear"/>
              <w:spacing w:after="28" w:before="28"/>
            </w:pPr>
            <w:r>
              <w:rPr>
                <w:rFonts w:ascii="Courier New" w:cs="Courier New" w:eastAsia="Courier New" w:hAnsi="Courier New"/>
                <w:b w:val="false"/>
                <w:bCs w:val="false"/>
                <w:color w:val="3B2005"/>
                <w:sz w:val="19"/>
                <w:szCs w:val="19"/>
              </w:rPr>
              <w:t xml:space="preserve">  </w:t>
            </w:r>
          </w:p>
          <w:p>
            <w:pPr>
              <w:shd w:fill="FADA9E" w:val="clear"/>
              <w:spacing w:after="28" w:before="28"/>
            </w:pPr>
            <w:r>
              <w:rPr>
                <w:rFonts w:ascii="Courier New" w:cs="Courier New" w:eastAsia="Courier New" w:hAnsi="Courier New"/>
                <w:b w:val="false"/>
                <w:bCs w:val="false"/>
                <w:color w:val="FADA9E"/>
                <w:sz w:val="19"/>
                <w:szCs w:val="19"/>
              </w:rPr>
              <w:t xml:space="preserve">  SWEET SPOT POSITIONING (+0.40c):</w:t>
            </w:r>
          </w:p>
          <w:p>
            <w:pPr>
              <w:shd w:fill="FFFBF4" w:val="clear"/>
              <w:spacing w:after="28" w:before="28"/>
            </w:pPr>
            <w:r>
              <w:rPr>
                <w:rFonts w:ascii="Courier New" w:cs="Courier New" w:eastAsia="Courier New" w:hAnsi="Courier New"/>
                <w:b w:val="false"/>
                <w:bCs w:val="false"/>
                <w:color w:val="3B2005"/>
                <w:sz w:val="19"/>
                <w:szCs w:val="19"/>
              </w:rPr>
              <w:t xml:space="preserve">  YES sell @ 0.579  |  NO sell @ 0.429</w:t>
            </w:r>
          </w:p>
          <w:p>
            <w:pPr>
              <w:shd w:fill="FFFBF4" w:val="clear"/>
              <w:spacing w:after="28" w:before="28"/>
            </w:pPr>
            <w:r>
              <w:rPr>
                <w:rFonts w:ascii="Courier New" w:cs="Courier New" w:eastAsia="Courier New" w:hAnsi="Courier New"/>
                <w:b w:val="false"/>
                <w:bCs w:val="false"/>
                <w:color w:val="3B2005"/>
                <w:sz w:val="19"/>
                <w:szCs w:val="19"/>
              </w:rPr>
              <w:t xml:space="preserve">  Proximity Factor: ~0.75x</w:t>
            </w:r>
          </w:p>
          <w:p>
            <w:pPr>
              <w:shd w:fill="FEF3E2" w:val="clear"/>
              <w:spacing w:after="28" w:before="28"/>
            </w:pPr>
            <w:r>
              <w:rPr>
                <w:rFonts w:ascii="Courier New" w:cs="Courier New" w:eastAsia="Courier New" w:hAnsi="Courier New"/>
                <w:b w:val="false"/>
                <w:bCs w:val="false"/>
                <w:color w:val="6B430A"/>
                <w:sz w:val="19"/>
                <w:szCs w:val="19"/>
              </w:rPr>
              <w:t xml:space="preserve">      LP Score: ~2,250 pts  (75% of max 3,000)</w:t>
            </w:r>
          </w:p>
          <w:p>
            <w:pPr>
              <w:shd w:fill="FFFBF4" w:val="clear"/>
              <w:spacing w:after="28" w:before="28"/>
            </w:pPr>
            <w:r>
              <w:rPr>
                <w:rFonts w:ascii="Courier New" w:cs="Courier New" w:eastAsia="Courier New" w:hAnsi="Courier New"/>
                <w:b w:val="false"/>
                <w:bCs w:val="false"/>
                <w:color w:val="3B2005"/>
                <w:sz w:val="19"/>
                <w:szCs w:val="19"/>
              </w:rPr>
              <w:t xml:space="preserve">  </w:t>
            </w:r>
          </w:p>
          <w:p>
            <w:pPr>
              <w:shd w:fill="FADA9E" w:val="clear"/>
              <w:spacing w:after="28" w:before="28"/>
            </w:pPr>
            <w:r>
              <w:rPr>
                <w:rFonts w:ascii="Courier New" w:cs="Courier New" w:eastAsia="Courier New" w:hAnsi="Courier New"/>
                <w:b w:val="false"/>
                <w:bCs w:val="false"/>
                <w:color w:val="FADA9E"/>
                <w:sz w:val="19"/>
                <w:szCs w:val="19"/>
              </w:rPr>
              <w:t xml:space="preserve">  CYCLE ECONOMICS (24h, $1,000 capital):</w:t>
            </w:r>
          </w:p>
          <w:p>
            <w:pPr>
              <w:shd w:fill="FFFBF4" w:val="clear"/>
              <w:spacing w:after="28" w:before="28"/>
            </w:pPr>
            <w:r>
              <w:rPr>
                <w:rFonts w:ascii="Courier New" w:cs="Courier New" w:eastAsia="Courier New" w:hAnsi="Courier New"/>
                <w:b w:val="false"/>
                <w:bCs w:val="false"/>
                <w:color w:val="3B2005"/>
                <w:sz w:val="19"/>
                <w:szCs w:val="19"/>
              </w:rPr>
              <w:t xml:space="preserve">  Sell YES: 1,000 x $0.579 = $579.00</w:t>
            </w:r>
          </w:p>
          <w:p>
            <w:pPr>
              <w:shd w:fill="FFFBF4" w:val="clear"/>
              <w:spacing w:after="28" w:before="28"/>
            </w:pPr>
            <w:r>
              <w:rPr>
                <w:rFonts w:ascii="Courier New" w:cs="Courier New" w:eastAsia="Courier New" w:hAnsi="Courier New"/>
                <w:b w:val="false"/>
                <w:bCs w:val="false"/>
                <w:color w:val="3B2005"/>
                <w:sz w:val="19"/>
                <w:szCs w:val="19"/>
              </w:rPr>
              <w:t xml:space="preserve">  Sell NO:  1,000 x $0.429 = $429.00</w:t>
            </w:r>
          </w:p>
          <w:p>
            <w:pPr>
              <w:shd w:fill="FFFBF4" w:val="clear"/>
              <w:spacing w:after="28" w:before="28"/>
            </w:pPr>
            <w:r>
              <w:rPr>
                <w:rFonts w:ascii="Courier New" w:cs="Courier New" w:eastAsia="Courier New" w:hAnsi="Courier New"/>
                <w:b w:val="false"/>
                <w:bCs w:val="false"/>
                <w:color w:val="3B2005"/>
                <w:sz w:val="19"/>
                <w:szCs w:val="19"/>
              </w:rPr>
              <w:t xml:space="preserve">  Gross: $1,008.00</w:t>
            </w:r>
          </w:p>
          <w:p>
            <w:pPr>
              <w:shd w:fill="FEF3E2" w:val="clear"/>
              <w:spacing w:after="28" w:before="28"/>
            </w:pPr>
            <w:r>
              <w:rPr>
                <w:rFonts w:ascii="Courier New" w:cs="Courier New" w:eastAsia="Courier New" w:hAnsi="Courier New"/>
                <w:b w:val="false"/>
                <w:bCs w:val="false"/>
                <w:color w:val="6B430A"/>
                <w:sz w:val="19"/>
                <w:szCs w:val="19"/>
              </w:rPr>
              <w:t xml:space="preserve">      Fee YES: 0.002 x 0.421 x 1000 = -$0.842</w:t>
            </w:r>
          </w:p>
          <w:p>
            <w:pPr>
              <w:shd w:fill="FEF3E2" w:val="clear"/>
              <w:spacing w:after="28" w:before="28"/>
            </w:pPr>
            <w:r>
              <w:rPr>
                <w:rFonts w:ascii="Courier New" w:cs="Courier New" w:eastAsia="Courier New" w:hAnsi="Courier New"/>
                <w:b w:val="false"/>
                <w:bCs w:val="false"/>
                <w:color w:val="6B430A"/>
                <w:sz w:val="19"/>
                <w:szCs w:val="19"/>
              </w:rPr>
              <w:t xml:space="preserve">      Fee NO:  0.002 x 0.429 x 1000 = -$0.858</w:t>
            </w:r>
          </w:p>
          <w:p>
            <w:pPr>
              <w:shd w:fill="FEF3E2" w:val="clear"/>
              <w:spacing w:after="28" w:before="28"/>
            </w:pPr>
            <w:r>
              <w:rPr>
                <w:rFonts w:ascii="Courier New" w:cs="Courier New" w:eastAsia="Courier New" w:hAnsi="Courier New"/>
                <w:b w:val="false"/>
                <w:bCs w:val="false"/>
                <w:color w:val="6B430A"/>
                <w:sz w:val="19"/>
                <w:szCs w:val="19"/>
              </w:rPr>
              <w:t xml:space="preserve">      Total fees: -$1.70</w:t>
            </w:r>
          </w:p>
          <w:p>
            <w:pPr>
              <w:shd w:fill="D1FAE5" w:val="clear"/>
              <w:spacing w:after="28" w:before="28"/>
            </w:pPr>
            <w:r>
              <w:rPr>
                <w:rFonts w:ascii="Courier New" w:cs="Courier New" w:eastAsia="Courier New" w:hAnsi="Courier New"/>
                <w:b/>
                <w:bCs/>
                <w:color w:val="065F46"/>
                <w:sz w:val="19"/>
                <w:szCs w:val="19"/>
              </w:rPr>
              <w:t xml:space="preserve">  Spread net:  +$6.30 (+0.63%)</w:t>
            </w:r>
          </w:p>
          <w:p>
            <w:pPr>
              <w:shd w:fill="D1FAE5" w:val="clear"/>
              <w:spacing w:after="28" w:before="28"/>
            </w:pPr>
            <w:r>
              <w:rPr>
                <w:rFonts w:ascii="Courier New" w:cs="Courier New" w:eastAsia="Courier New" w:hAnsi="Courier New"/>
                <w:b/>
                <w:bCs/>
                <w:color w:val="065F46"/>
                <w:sz w:val="19"/>
                <w:szCs w:val="19"/>
              </w:rPr>
              <w:t xml:space="preserve">  LP Rewards (0.75x): +$0.375</w:t>
            </w:r>
          </w:p>
          <w:p>
            <w:pPr>
              <w:shd w:fill="D1FAE5" w:val="clear"/>
              <w:spacing w:after="28" w:before="28"/>
            </w:pPr>
            <w:r>
              <w:rPr>
                <w:rFonts w:ascii="Courier New" w:cs="Courier New" w:eastAsia="Courier New" w:hAnsi="Courier New"/>
                <w:b/>
                <w:bCs/>
                <w:color w:val="065F46"/>
                <w:sz w:val="19"/>
                <w:szCs w:val="19"/>
              </w:rPr>
              <w:t xml:space="preserve">  CYCLE TOTAL: +$6.675 (+0.6675%)</w:t>
            </w:r>
          </w:p>
          <w:p>
            <w:pPr>
              <w:shd w:fill="FFFBF4" w:val="clear"/>
              <w:spacing w:after="28" w:before="28"/>
            </w:pPr>
            <w:r>
              <w:rPr>
                <w:rFonts w:ascii="Courier New" w:cs="Courier New" w:eastAsia="Courier New" w:hAnsi="Courier New"/>
                <w:b w:val="false"/>
                <w:bCs w:val="false"/>
                <w:color w:val="3B2005"/>
                <w:sz w:val="19"/>
                <w:szCs w:val="19"/>
              </w:rPr>
              <w:t xml:space="preserve">  </w:t>
            </w:r>
          </w:p>
          <w:p>
            <w:pPr>
              <w:shd w:fill="FEF9C3" w:val="clear"/>
              <w:spacing w:after="28" w:before="28"/>
            </w:pPr>
            <w:r>
              <w:rPr>
                <w:rFonts w:ascii="Courier New" w:cs="Courier New" w:eastAsia="Courier New" w:hAnsi="Courier New"/>
                <w:b w:val="false"/>
                <w:bCs w:val="false"/>
                <w:color w:val="854D0E"/>
                <w:sz w:val="19"/>
                <w:szCs w:val="19"/>
              </w:rPr>
              <w:t xml:space="preserve">  vs MINT-04 pure: +$13.575 but 0.55x rewards</w:t>
            </w:r>
          </w:p>
          <w:p>
            <w:pPr>
              <w:shd w:fill="FEE2E2" w:val="clear"/>
              <w:spacing w:after="28" w:before="28"/>
            </w:pPr>
            <w:r>
              <w:rPr>
                <w:rFonts w:ascii="Courier New" w:cs="Courier New" w:eastAsia="Courier New" w:hAnsi="Courier New"/>
                <w:b/>
                <w:bCs/>
                <w:color w:val="991B1B"/>
                <w:sz w:val="19"/>
                <w:szCs w:val="19"/>
              </w:rPr>
              <w:t xml:space="preserve">  vs MINT-03 pure: -$1.21 loss if executed</w:t>
            </w:r>
          </w:p>
          <w:p>
            <w:pPr>
              <w:shd w:fill="FFFBF4" w:val="clear"/>
              <w:spacing w:after="28" w:before="28"/>
            </w:pPr>
            <w:r>
              <w:rPr>
                <w:rFonts w:ascii="Courier New" w:cs="Courier New" w:eastAsia="Courier New" w:hAnsi="Courier New"/>
                <w:b w:val="false"/>
                <w:bCs w:val="false"/>
                <w:color w:val="3B2005"/>
                <w:sz w:val="19"/>
                <w:szCs w:val="19"/>
              </w:rPr>
              <w:t xml:space="preserve">  </w:t>
            </w:r>
          </w:p>
          <w:p>
            <w:pPr>
              <w:shd w:fill="FADA9E" w:val="clear"/>
              <w:spacing w:after="28" w:before="28"/>
            </w:pPr>
            <w:r>
              <w:rPr>
                <w:rFonts w:ascii="Courier New" w:cs="Courier New" w:eastAsia="Courier New" w:hAnsi="Courier New"/>
                <w:b w:val="false"/>
                <w:bCs w:val="false"/>
                <w:color w:val="FADA9E"/>
                <w:sz w:val="19"/>
                <w:szCs w:val="19"/>
              </w:rPr>
              <w:t xml:space="preserve">  APY (30 cycles/month, compounding):</w:t>
            </w:r>
          </w:p>
          <w:p>
            <w:pPr>
              <w:shd w:fill="D1FAE5" w:val="clear"/>
              <w:spacing w:after="28" w:before="28"/>
            </w:pPr>
            <w:r>
              <w:rPr>
                <w:rFonts w:ascii="Courier New" w:cs="Courier New" w:eastAsia="Courier New" w:hAnsi="Courier New"/>
                <w:b/>
                <w:bCs/>
                <w:color w:val="065F46"/>
                <w:sz w:val="19"/>
                <w:szCs w:val="19"/>
              </w:rPr>
              <w:t xml:space="preserve">  Monthly: 30 x 0.6675% = ~20.0%</w:t>
            </w:r>
          </w:p>
          <w:p>
            <w:pPr>
              <w:shd w:fill="D1FAE5" w:val="clear"/>
              <w:spacing w:after="28" w:before="28"/>
            </w:pPr>
            <w:r>
              <w:rPr>
                <w:rFonts w:ascii="Courier New" w:cs="Courier New" w:eastAsia="Courier New" w:hAnsi="Courier New"/>
                <w:b/>
                <w:bCs/>
                <w:color w:val="065F46"/>
                <w:sz w:val="19"/>
                <w:szCs w:val="19"/>
              </w:rPr>
              <w:t xml:space="preserve">  Annual projected: ~26-28% (stable, consistent)</w:t>
            </w:r>
          </w:p>
        </w:tc>
      </w:tr>
    </w:tbl>
    <w:p>
      <w:pPr>
        <w:spacing w:after="0" w:before="40"/>
      </w:pPr>
      <w:r>
        <w:t xml:space="preserve"/>
      </w:r>
    </w:p>
    <w:p>
      <w:pPr>
        <w:pBdr>
          <w:left w:val="single" w:color="1E3A8A" w:sz="16"/>
        </w:pBdr>
        <w:shd w:fill="DBEAFE" w:val="clear"/>
        <w:spacing w:after="50" w:before="80"/>
        <w:ind w:left="200"/>
      </w:pPr>
      <w:r>
        <w:rPr>
          <w:rFonts w:ascii="Courier New" w:cs="Courier New" w:eastAsia="Courier New" w:hAnsi="Courier New"/>
          <w:b/>
          <w:bCs/>
          <w:color w:val="1E3A8A"/>
          <w:sz w:val="16"/>
          <w:szCs w:val="16"/>
        </w:rPr>
        <w:t xml:space="preserve">ADAPTIVE POSITIONING RULE</w:t>
      </w:r>
    </w:p>
    <w:p>
      <w:pPr>
        <w:pBdr>
          <w:left w:val="single" w:color="1E3A8A" w:sz="16"/>
        </w:pBdr>
        <w:shd w:fill="DBEAFE" w:val="clear"/>
        <w:spacing w:after="40" w:before="40"/>
        <w:ind w:left="200"/>
      </w:pPr>
      <w:r>
        <w:rPr>
          <w:rFonts w:ascii="Arial" w:cs="Arial" w:eastAsia="Arial" w:hAnsi="Arial"/>
          <w:color w:val="3B2005"/>
          <w:sz w:val="21"/>
          <w:szCs w:val="21"/>
        </w:rPr>
        <w:t xml:space="preserve">HYB-01 is most powerful when the positioning distance is actively adjusted based on observed market behavior. If orders fill consistently in under 6 hours, increase distance toward +0.60c to capture more spread. If orders sit unfilled for 36+ hours, decrease distance toward +0.20c to attract more LP Rewards. This active management converts HYB-01 from a static strategy into a dynamic yield optimizer across varying market conditions.</w:t>
      </w:r>
    </w:p>
    <w:p>
      <w:pPr>
        <w:pBdr>
          <w:left w:val="single" w:color="1E3A8A" w:sz="16"/>
        </w:pBdr>
        <w:shd w:fill="DBEAFE" w:val="clear"/>
        <w:spacing w:after="60" w:before="40"/>
        <w:ind w:left="200"/>
      </w:pPr>
      <w:r>
        <w:t xml:space="preserve"/>
      </w:r>
    </w:p>
    <w:p>
      <w:pPr>
        <w:shd w:fill="8B4500" w:val="clear"/>
        <w:spacing w:after="0" w:before="320"/>
      </w:pPr>
      <w:r>
        <w:rPr>
          <w:rFonts w:ascii="Courier New" w:cs="Courier New" w:eastAsia="Courier New" w:hAnsi="Courier New"/>
          <w:b/>
          <w:bCs/>
          <w:color w:val="FDEBD0"/>
          <w:sz w:val="22"/>
          <w:szCs w:val="22"/>
        </w:rPr>
        <w:t xml:space="preserve">  HYB-02  </w:t>
      </w:r>
      <w:r>
        <w:rPr>
          <w:rFonts w:ascii="Arial" w:cs="Arial" w:eastAsia="Arial" w:hAnsi="Arial"/>
          <w:b/>
          <w:bCs/>
          <w:color w:val="FFFFFF"/>
          <w:sz w:val="28"/>
          <w:szCs w:val="28"/>
        </w:rPr>
        <w:t xml:space="preserve">  Arbitrage + Dynamic Hedge</w:t>
      </w:r>
    </w:p>
    <w:p>
      <w:pPr>
        <w:shd w:fill="FDEBD0" w:val="clear"/>
        <w:spacing w:after="120" w:before="0"/>
      </w:pPr>
      <w:r>
        <w:rPr>
          <w:rFonts w:ascii="Arial" w:cs="Arial" w:eastAsia="Arial" w:hAnsi="Arial"/>
          <w:i/>
          <w:iCs/>
          <w:color w:val="8B4500"/>
          <w:sz w:val="20"/>
          <w:szCs w:val="20"/>
        </w:rPr>
        <w:t xml:space="preserve">  Mathematically guaranteed arbitrage profit, protected against the 13% partial-execution failure.</w:t>
      </w:r>
    </w:p>
    <w:p>
      <w:pPr>
        <w:spacing w:after="60" w:before="60"/>
      </w:pPr>
      <w:r>
        <w:rPr>
          <w:rFonts w:ascii="Arial" w:cs="Arial" w:eastAsia="Arial" w:hAnsi="Arial"/>
          <w:color w:val="3B2005"/>
          <w:sz w:val="22"/>
          <w:szCs w:val="22"/>
        </w:rPr>
        <w:t xml:space="preserve">ARB-01 and ARB-02 are the most reliable strategies in the catalog — </w:t>
      </w:r>
      <w:r>
        <w:rPr>
          <w:rFonts w:ascii="Arial" w:cs="Arial" w:eastAsia="Arial" w:hAnsi="Arial"/>
          <w:b/>
          <w:bCs/>
          <w:color w:val="1C1007"/>
          <w:sz w:val="22"/>
          <w:szCs w:val="22"/>
        </w:rPr>
        <w:t xml:space="preserve">87% success rate</w:t>
      </w:r>
      <w:r>
        <w:rPr>
          <w:rFonts w:ascii="Arial" w:cs="Arial" w:eastAsia="Arial" w:hAnsi="Arial"/>
          <w:color w:val="3B2005"/>
          <w:sz w:val="22"/>
          <w:szCs w:val="22"/>
        </w:rPr>
        <w:t xml:space="preserve"> and mathematically guaranteed profit when both sides execute. The 13% failure rate is the only structural weakness: if YES fills but NO does not (or vice versa), the position is exposed to the event's binary outcome. At $1,000 capital, accepting this risk is manageable. At $10,000+, a single partial-execution failure can erase months of gains.</w:t>
      </w:r>
    </w:p>
    <w:p>
      <w:pPr>
        <w:spacing w:after="0" w:before="40"/>
      </w:pPr>
      <w:r>
        <w:t xml:space="preserve"/>
      </w:r>
    </w:p>
    <w:p>
      <w:pPr>
        <w:spacing w:after="60" w:before="60"/>
      </w:pPr>
      <w:r>
        <w:rPr>
          <w:rFonts w:ascii="Arial" w:cs="Arial" w:eastAsia="Arial" w:hAnsi="Arial"/>
          <w:color w:val="3B2005"/>
          <w:sz w:val="22"/>
          <w:szCs w:val="22"/>
        </w:rPr>
        <w:t xml:space="preserve">HYB-02 eliminates this risk by combining the arbitrage position with </w:t>
      </w:r>
      <w:r>
        <w:rPr>
          <w:rFonts w:ascii="Arial" w:cs="Arial" w:eastAsia="Arial" w:hAnsi="Arial"/>
          <w:b/>
          <w:bCs/>
          <w:color w:val="1C1007"/>
          <w:sz w:val="22"/>
          <w:szCs w:val="22"/>
        </w:rPr>
        <w:t xml:space="preserve">HEDGE-03 (Dynamic Adjustable Hedge)</w:t>
      </w:r>
      <w:r>
        <w:rPr>
          <w:rFonts w:ascii="Arial" w:cs="Arial" w:eastAsia="Arial" w:hAnsi="Arial"/>
          <w:color w:val="3B2005"/>
          <w:sz w:val="22"/>
          <w:szCs w:val="22"/>
        </w:rPr>
        <w:t xml:space="preserve"> as active protection during the execution window. The moment a partial fill is detected, the hedge triggers immediately — placing a counter-order on the exposed side at market price to neutralize the event exposure before resolution. The cost: 10–20% of maximum profit on every trade. The benefit: </w:t>
      </w:r>
      <w:r>
        <w:rPr>
          <w:rFonts w:ascii="Arial" w:cs="Arial" w:eastAsia="Arial" w:hAnsi="Arial"/>
          <w:b/>
          <w:bCs/>
          <w:color w:val="1C1007"/>
          <w:sz w:val="22"/>
          <w:szCs w:val="22"/>
        </w:rPr>
        <w:t xml:space="preserve">zero catastrophic loss from partial execution</w:t>
      </w:r>
      <w:r>
        <w:rPr>
          <w:rFonts w:ascii="Arial" w:cs="Arial" w:eastAsia="Arial" w:hAnsi="Arial"/>
          <w:color w:val="3B2005"/>
          <w:sz w:val="22"/>
          <w:szCs w:val="22"/>
        </w:rPr>
        <w:t xml:space="preserve">, regardless of how the event resolves.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ADA9E" w:sz="1"/>
              <w:left w:val="single" w:color="FADA9E" w:sz="1"/>
              <w:bottom w:val="single" w:color="FADA9E" w:sz="1"/>
              <w:right w:val="single" w:color="FADA9E" w:sz="1"/>
            </w:tcBorders>
            <w:shd w:fill="FDEBD0" w:val="clear"/>
            <w:tcMar>
              <w:top w:type="dxa" w:w="140"/>
              <w:left w:type="dxa" w:w="180"/>
              <w:bottom w:type="dxa" w:w="140"/>
              <w:right w:type="dxa" w:w="180"/>
            </w:tcMar>
          </w:tcPr>
          <w:p>
            <w:pPr>
              <w:spacing w:after="100" w:before="40"/>
            </w:pPr>
            <w:r>
              <w:rPr>
                <w:rFonts w:ascii="Courier New" w:cs="Courier New" w:eastAsia="Courier New" w:hAnsi="Courier New"/>
                <w:b/>
                <w:bCs/>
                <w:color w:val="8B4500"/>
                <w:sz w:val="17"/>
                <w:szCs w:val="17"/>
              </w:rPr>
              <w:t xml:space="preserve">EXECUTION STEPS</w:t>
            </w:r>
          </w:p>
          <w:p>
            <w:pPr>
              <w:spacing w:after="55" w:before="55"/>
            </w:pPr>
            <w:r>
              <w:rPr>
                <w:rFonts w:ascii="Courier New" w:cs="Courier New" w:eastAsia="Courier New" w:hAnsi="Courier New"/>
                <w:b/>
                <w:bCs/>
                <w:color w:val="B85C00"/>
                <w:sz w:val="20"/>
                <w:szCs w:val="20"/>
              </w:rPr>
              <w:t xml:space="preserve">1.  </w:t>
            </w:r>
            <w:r>
              <w:rPr>
                <w:rFonts w:ascii="Arial" w:cs="Arial" w:eastAsia="Arial" w:hAnsi="Arial"/>
                <w:color w:val="3B2005"/>
                <w:sz w:val="21"/>
                <w:szCs w:val="21"/>
              </w:rPr>
              <w:t xml:space="preserve">Detect the arbitrage opportunity: YES + NO &lt; $1.00 (ARB-01) or YES + NO &gt; $1.00 (ARB-02 via minting). Confirm net profit after fees exceeds 0.5% minimum threshold.</w:t>
            </w:r>
          </w:p>
          <w:p>
            <w:pPr>
              <w:spacing w:after="55" w:before="55"/>
            </w:pPr>
            <w:r>
              <w:rPr>
                <w:rFonts w:ascii="Courier New" w:cs="Courier New" w:eastAsia="Courier New" w:hAnsi="Courier New"/>
                <w:b/>
                <w:bCs/>
                <w:color w:val="B85C00"/>
                <w:sz w:val="20"/>
                <w:szCs w:val="20"/>
              </w:rPr>
              <w:t xml:space="preserve">2.  </w:t>
            </w:r>
            <w:r>
              <w:rPr>
                <w:rFonts w:ascii="Arial" w:cs="Arial" w:eastAsia="Arial" w:hAnsi="Arial"/>
                <w:color w:val="3B2005"/>
                <w:sz w:val="21"/>
                <w:szCs w:val="21"/>
              </w:rPr>
              <w:t xml:space="preserve">Before executing, pre-calculate the hedge parameters: identify the counter-side order (NO if buying YES, YES if buying NO) and set a hedge trigger price at market price at time of detection.</w:t>
            </w:r>
          </w:p>
          <w:p>
            <w:pPr>
              <w:spacing w:after="55" w:before="55"/>
            </w:pPr>
            <w:r>
              <w:rPr>
                <w:rFonts w:ascii="Courier New" w:cs="Courier New" w:eastAsia="Courier New" w:hAnsi="Courier New"/>
                <w:b/>
                <w:bCs/>
                <w:color w:val="B85C00"/>
                <w:sz w:val="20"/>
                <w:szCs w:val="20"/>
              </w:rPr>
              <w:t xml:space="preserve">3.  </w:t>
            </w:r>
            <w:r>
              <w:rPr>
                <w:rFonts w:ascii="Arial" w:cs="Arial" w:eastAsia="Arial" w:hAnsi="Arial"/>
                <w:color w:val="3B2005"/>
                <w:sz w:val="21"/>
                <w:szCs w:val="21"/>
              </w:rPr>
              <w:t xml:space="preserve">Submit both arbitrage orders simultaneously via asyncio.gather() with &lt;30ms parallel latency. Start a 500ms timer for execution confirmation.</w:t>
            </w:r>
          </w:p>
          <w:p>
            <w:pPr>
              <w:spacing w:after="55" w:before="55"/>
            </w:pPr>
            <w:r>
              <w:rPr>
                <w:rFonts w:ascii="Courier New" w:cs="Courier New" w:eastAsia="Courier New" w:hAnsi="Courier New"/>
                <w:b/>
                <w:bCs/>
                <w:color w:val="B85C00"/>
                <w:sz w:val="20"/>
                <w:szCs w:val="20"/>
              </w:rPr>
              <w:t xml:space="preserve">4.  </w:t>
            </w:r>
            <w:r>
              <w:rPr>
                <w:rFonts w:ascii="Arial" w:cs="Arial" w:eastAsia="Arial" w:hAnsi="Arial"/>
                <w:color w:val="3B2005"/>
                <w:sz w:val="21"/>
                <w:szCs w:val="21"/>
              </w:rPr>
              <w:t xml:space="preserve">If BOTH sides confirm within 500ms: arbitrage complete. No hedge required. Record profit.</w:t>
            </w:r>
          </w:p>
          <w:p>
            <w:pPr>
              <w:spacing w:after="55" w:before="55"/>
            </w:pPr>
            <w:r>
              <w:rPr>
                <w:rFonts w:ascii="Courier New" w:cs="Courier New" w:eastAsia="Courier New" w:hAnsi="Courier New"/>
                <w:b/>
                <w:bCs/>
                <w:color w:val="B85C00"/>
                <w:sz w:val="20"/>
                <w:szCs w:val="20"/>
              </w:rPr>
              <w:t xml:space="preserve">5.  </w:t>
            </w:r>
            <w:r>
              <w:rPr>
                <w:rFonts w:ascii="Arial" w:cs="Arial" w:eastAsia="Arial" w:hAnsi="Arial"/>
                <w:color w:val="3B2005"/>
                <w:sz w:val="21"/>
                <w:szCs w:val="21"/>
              </w:rPr>
              <w:t xml:space="preserve">If ONLY ONE side confirms within 500ms: immediately execute the HEDGE-03 counter-order at market price on the unexecuted side. This converts the exposed position into a near-neutral hedge. Accept the small cost of the counter-order spread.</w:t>
            </w:r>
          </w:p>
          <w:p>
            <w:pPr>
              <w:spacing w:after="55" w:before="55"/>
            </w:pPr>
            <w:r>
              <w:rPr>
                <w:rFonts w:ascii="Courier New" w:cs="Courier New" w:eastAsia="Courier New" w:hAnsi="Courier New"/>
                <w:b/>
                <w:bCs/>
                <w:color w:val="B85C00"/>
                <w:sz w:val="20"/>
                <w:szCs w:val="20"/>
              </w:rPr>
              <w:t xml:space="preserve">6.  </w:t>
            </w:r>
            <w:r>
              <w:rPr>
                <w:rFonts w:ascii="Arial" w:cs="Arial" w:eastAsia="Arial" w:hAnsi="Arial"/>
                <w:color w:val="3B2005"/>
                <w:sz w:val="21"/>
                <w:szCs w:val="21"/>
              </w:rPr>
              <w:t xml:space="preserve">Review partial fill rate weekly. If partial fills exceed 20% over 50 trades, reduce position size or improve WebSocket latency infrastructure before scaling capital.</w:t>
            </w:r>
          </w:p>
        </w:tc>
        <w:tc>
          <w:tcPr>
            <w:tcW w:type="dxa" w:w="4680"/>
            <w:tcBorders>
              <w:top w:val="single" w:color="FADA9E" w:sz="1"/>
              <w:left w:val="single" w:color="FADA9E" w:sz="1"/>
              <w:bottom w:val="single" w:color="FADA9E" w:sz="1"/>
              <w:right w:val="single" w:color="FADA9E" w:sz="1"/>
            </w:tcBorders>
            <w:shd w:fill="FEF3E2" w:val="clear"/>
            <w:tcMar>
              <w:top w:type="dxa" w:w="140"/>
              <w:left w:type="dxa" w:w="180"/>
              <w:bottom w:type="dxa" w:w="140"/>
              <w:right w:type="dxa" w:w="180"/>
            </w:tcMar>
          </w:tcPr>
          <w:p>
            <w:pPr>
              <w:spacing w:after="100" w:before="40"/>
            </w:pPr>
            <w:r>
              <w:rPr>
                <w:rFonts w:ascii="Courier New" w:cs="Courier New" w:eastAsia="Courier New" w:hAnsi="Courier New"/>
                <w:b/>
                <w:bCs/>
                <w:color w:val="B85C00"/>
                <w:sz w:val="17"/>
                <w:szCs w:val="17"/>
              </w:rPr>
              <w:t xml:space="preserve">NUMERICAL EXAMPLE</w:t>
            </w:r>
          </w:p>
          <w:p>
            <w:pPr>
              <w:shd w:fill="8B4500" w:val="clear"/>
              <w:spacing w:after="28" w:before="28"/>
            </w:pPr>
            <w:r>
              <w:rPr>
                <w:rFonts w:ascii="Courier New" w:cs="Courier New" w:eastAsia="Courier New" w:hAnsi="Courier New"/>
                <w:b/>
                <w:bCs/>
                <w:color w:val="FDEBD0"/>
                <w:sz w:val="19"/>
                <w:szCs w:val="19"/>
              </w:rPr>
              <w:t xml:space="preserve">  ARBITRAGE DETECTED:</w:t>
            </w:r>
          </w:p>
          <w:p>
            <w:pPr>
              <w:shd w:fill="FFFBF4" w:val="clear"/>
              <w:spacing w:after="28" w:before="28"/>
            </w:pPr>
            <w:r>
              <w:rPr>
                <w:rFonts w:ascii="Courier New" w:cs="Courier New" w:eastAsia="Courier New" w:hAnsi="Courier New"/>
                <w:b w:val="false"/>
                <w:bCs w:val="false"/>
                <w:color w:val="3B2005"/>
                <w:sz w:val="19"/>
                <w:szCs w:val="19"/>
              </w:rPr>
              <w:t xml:space="preserve">  YES = $0.43  |  NO = $0.45  |  Sum = $0.88</w:t>
            </w:r>
          </w:p>
          <w:p>
            <w:pPr>
              <w:shd w:fill="FFFBF4" w:val="clear"/>
              <w:spacing w:after="28" w:before="28"/>
            </w:pPr>
            <w:r>
              <w:rPr>
                <w:rFonts w:ascii="Courier New" w:cs="Courier New" w:eastAsia="Courier New" w:hAnsi="Courier New"/>
                <w:b w:val="false"/>
                <w:bCs w:val="false"/>
                <w:color w:val="3B2005"/>
                <w:sz w:val="19"/>
                <w:szCs w:val="19"/>
              </w:rPr>
              <w:t xml:space="preserve">  Gross opportunity: $1.00 - $0.88 = $0.12/unit</w:t>
            </w:r>
          </w:p>
          <w:p>
            <w:pPr>
              <w:shd w:fill="FFFBF4" w:val="clear"/>
              <w:spacing w:after="28" w:before="28"/>
            </w:pPr>
            <w:r>
              <w:rPr>
                <w:rFonts w:ascii="Courier New" w:cs="Courier New" w:eastAsia="Courier New" w:hAnsi="Courier New"/>
                <w:b w:val="false"/>
                <w:bCs w:val="false"/>
                <w:color w:val="3B2005"/>
                <w:sz w:val="19"/>
                <w:szCs w:val="19"/>
              </w:rPr>
              <w:t xml:space="preserve">  Capital: $8,800 (4,400 YES + 4,400 NO)</w:t>
            </w:r>
          </w:p>
          <w:p>
            <w:pPr>
              <w:shd w:fill="FFFBF4" w:val="clear"/>
              <w:spacing w:after="28" w:before="28"/>
            </w:pPr>
            <w:r>
              <w:rPr>
                <w:rFonts w:ascii="Courier New" w:cs="Courier New" w:eastAsia="Courier New" w:hAnsi="Courier New"/>
                <w:b w:val="false"/>
                <w:bCs w:val="false"/>
                <w:color w:val="3B2005"/>
                <w:sz w:val="19"/>
                <w:szCs w:val="19"/>
              </w:rPr>
              <w:t xml:space="preserve">  </w:t>
            </w:r>
          </w:p>
          <w:p>
            <w:pPr>
              <w:shd w:fill="FADA9E" w:val="clear"/>
              <w:spacing w:after="28" w:before="28"/>
            </w:pPr>
            <w:r>
              <w:rPr>
                <w:rFonts w:ascii="Courier New" w:cs="Courier New" w:eastAsia="Courier New" w:hAnsi="Courier New"/>
                <w:b w:val="false"/>
                <w:bCs w:val="false"/>
                <w:color w:val="FADA9E"/>
                <w:sz w:val="19"/>
                <w:szCs w:val="19"/>
              </w:rPr>
              <w:t xml:space="preserve">  SCENARIO A — Both sides execute (87%):</w:t>
            </w:r>
          </w:p>
          <w:p>
            <w:pPr>
              <w:shd w:fill="FFFBF4" w:val="clear"/>
              <w:spacing w:after="28" w:before="28"/>
            </w:pPr>
            <w:r>
              <w:rPr>
                <w:rFonts w:ascii="Courier New" w:cs="Courier New" w:eastAsia="Courier New" w:hAnsi="Courier New"/>
                <w:b w:val="false"/>
                <w:bCs w:val="false"/>
                <w:color w:val="3B2005"/>
                <w:sz w:val="19"/>
                <w:szCs w:val="19"/>
              </w:rPr>
              <w:t xml:space="preserve">  YES: 4,400 x $0.43 = $1,892 deployed</w:t>
            </w:r>
          </w:p>
          <w:p>
            <w:pPr>
              <w:shd w:fill="FFFBF4" w:val="clear"/>
              <w:spacing w:after="28" w:before="28"/>
            </w:pPr>
            <w:r>
              <w:rPr>
                <w:rFonts w:ascii="Courier New" w:cs="Courier New" w:eastAsia="Courier New" w:hAnsi="Courier New"/>
                <w:b w:val="false"/>
                <w:bCs w:val="false"/>
                <w:color w:val="3B2005"/>
                <w:sz w:val="19"/>
                <w:szCs w:val="19"/>
              </w:rPr>
              <w:t xml:space="preserve">  NO:  4,400 x $0.45 = $1,980 deployed</w:t>
            </w:r>
          </w:p>
          <w:p>
            <w:pPr>
              <w:shd w:fill="FFFBF4" w:val="clear"/>
              <w:spacing w:after="28" w:before="28"/>
            </w:pPr>
            <w:r>
              <w:rPr>
                <w:rFonts w:ascii="Courier New" w:cs="Courier New" w:eastAsia="Courier New" w:hAnsi="Courier New"/>
                <w:b w:val="false"/>
                <w:bCs w:val="false"/>
                <w:color w:val="3B2005"/>
                <w:sz w:val="19"/>
                <w:szCs w:val="19"/>
              </w:rPr>
              <w:t xml:space="preserve">  Total deployed: $3,872</w:t>
            </w:r>
          </w:p>
          <w:p>
            <w:pPr>
              <w:shd w:fill="FEF3E2" w:val="clear"/>
              <w:spacing w:after="28" w:before="28"/>
            </w:pPr>
            <w:r>
              <w:rPr>
                <w:rFonts w:ascii="Courier New" w:cs="Courier New" w:eastAsia="Courier New" w:hAnsi="Courier New"/>
                <w:b w:val="false"/>
                <w:bCs w:val="false"/>
                <w:color w:val="6B430A"/>
                <w:sz w:val="19"/>
                <w:szCs w:val="19"/>
              </w:rPr>
              <w:t xml:space="preserve">      Resolution payout: 4,400 x $1.00 = $4,400</w:t>
            </w:r>
          </w:p>
          <w:p>
            <w:pPr>
              <w:shd w:fill="FFFBF4" w:val="clear"/>
              <w:spacing w:after="28" w:before="28"/>
            </w:pPr>
            <w:r>
              <w:rPr>
                <w:rFonts w:ascii="Courier New" w:cs="Courier New" w:eastAsia="Courier New" w:hAnsi="Courier New"/>
                <w:b w:val="false"/>
                <w:bCs w:val="false"/>
                <w:color w:val="3B2005"/>
                <w:sz w:val="19"/>
                <w:szCs w:val="19"/>
              </w:rPr>
              <w:t xml:space="preserve">  Fees: ~$7.48</w:t>
            </w:r>
          </w:p>
          <w:p>
            <w:pPr>
              <w:shd w:fill="D1FAE5" w:val="clear"/>
              <w:spacing w:after="28" w:before="28"/>
            </w:pPr>
            <w:r>
              <w:rPr>
                <w:rFonts w:ascii="Courier New" w:cs="Courier New" w:eastAsia="Courier New" w:hAnsi="Courier New"/>
                <w:b/>
                <w:bCs/>
                <w:color w:val="065F46"/>
                <w:sz w:val="19"/>
                <w:szCs w:val="19"/>
              </w:rPr>
              <w:t xml:space="preserve">  PROFIT: $4,400 - $3,872 - $7.48 = +$520.52</w:t>
            </w:r>
          </w:p>
          <w:p>
            <w:pPr>
              <w:shd w:fill="D1FAE5" w:val="clear"/>
              <w:spacing w:after="28" w:before="28"/>
            </w:pPr>
            <w:r>
              <w:rPr>
                <w:rFonts w:ascii="Courier New" w:cs="Courier New" w:eastAsia="Courier New" w:hAnsi="Courier New"/>
                <w:b/>
                <w:bCs/>
                <w:color w:val="065F46"/>
                <w:sz w:val="19"/>
                <w:szCs w:val="19"/>
              </w:rPr>
              <w:t xml:space="preserve">  ROI: +13.4% (no hedge cost)</w:t>
            </w:r>
          </w:p>
          <w:p>
            <w:pPr>
              <w:shd w:fill="FFFBF4" w:val="clear"/>
              <w:spacing w:after="28" w:before="28"/>
            </w:pPr>
            <w:r>
              <w:rPr>
                <w:rFonts w:ascii="Courier New" w:cs="Courier New" w:eastAsia="Courier New" w:hAnsi="Courier New"/>
                <w:b w:val="false"/>
                <w:bCs w:val="false"/>
                <w:color w:val="3B2005"/>
                <w:sz w:val="19"/>
                <w:szCs w:val="19"/>
              </w:rPr>
              <w:t xml:space="preserve">  </w:t>
            </w:r>
          </w:p>
          <w:p>
            <w:pPr>
              <w:shd w:fill="FADA9E" w:val="clear"/>
              <w:spacing w:after="28" w:before="28"/>
            </w:pPr>
            <w:r>
              <w:rPr>
                <w:rFonts w:ascii="Courier New" w:cs="Courier New" w:eastAsia="Courier New" w:hAnsi="Courier New"/>
                <w:b w:val="false"/>
                <w:bCs w:val="false"/>
                <w:color w:val="FADA9E"/>
                <w:sz w:val="19"/>
                <w:szCs w:val="19"/>
              </w:rPr>
              <w:t xml:space="preserve">  SCENARIO B — Partial fill: YES only (13%):</w:t>
            </w:r>
          </w:p>
          <w:p>
            <w:pPr>
              <w:shd w:fill="FFFBF4" w:val="clear"/>
              <w:spacing w:after="28" w:before="28"/>
            </w:pPr>
            <w:r>
              <w:rPr>
                <w:rFonts w:ascii="Courier New" w:cs="Courier New" w:eastAsia="Courier New" w:hAnsi="Courier New"/>
                <w:b w:val="false"/>
                <w:bCs w:val="false"/>
                <w:color w:val="3B2005"/>
                <w:sz w:val="19"/>
                <w:szCs w:val="19"/>
              </w:rPr>
              <w:t xml:space="preserve">  YES filled: 4,400 tokens @ $0.43 = $1,892</w:t>
            </w:r>
          </w:p>
          <w:p>
            <w:pPr>
              <w:shd w:fill="FEE2E2" w:val="clear"/>
              <w:spacing w:after="28" w:before="28"/>
            </w:pPr>
            <w:r>
              <w:rPr>
                <w:rFonts w:ascii="Courier New" w:cs="Courier New" w:eastAsia="Courier New" w:hAnsi="Courier New"/>
                <w:b/>
                <w:bCs/>
                <w:color w:val="991B1B"/>
                <w:sz w:val="19"/>
                <w:szCs w:val="19"/>
              </w:rPr>
              <w:t xml:space="preserve">  NO NOT filled. EVENT EXPOSURE OPEN!</w:t>
            </w:r>
          </w:p>
          <w:p>
            <w:pPr>
              <w:shd w:fill="FFFBF4" w:val="clear"/>
              <w:spacing w:after="28" w:before="28"/>
            </w:pPr>
            <w:r>
              <w:rPr>
                <w:rFonts w:ascii="Courier New" w:cs="Courier New" w:eastAsia="Courier New" w:hAnsi="Courier New"/>
                <w:b w:val="false"/>
                <w:bCs w:val="false"/>
                <w:color w:val="3B2005"/>
                <w:sz w:val="19"/>
                <w:szCs w:val="19"/>
              </w:rPr>
              <w:t xml:space="preserve">  </w:t>
            </w:r>
          </w:p>
          <w:p>
            <w:pPr>
              <w:shd w:fill="FADA9E" w:val="clear"/>
              <w:spacing w:after="28" w:before="28"/>
            </w:pPr>
            <w:r>
              <w:rPr>
                <w:rFonts w:ascii="Courier New" w:cs="Courier New" w:eastAsia="Courier New" w:hAnsi="Courier New"/>
                <w:b w:val="false"/>
                <w:bCs w:val="false"/>
                <w:color w:val="FADA9E"/>
                <w:sz w:val="19"/>
                <w:szCs w:val="19"/>
              </w:rPr>
              <w:t xml:space="preserve">  HEDGE-03 TRIGGERS:</w:t>
            </w:r>
          </w:p>
          <w:p>
            <w:pPr>
              <w:shd w:fill="FEF9C3" w:val="clear"/>
              <w:spacing w:after="28" w:before="28"/>
            </w:pPr>
            <w:r>
              <w:rPr>
                <w:rFonts w:ascii="Courier New" w:cs="Courier New" w:eastAsia="Courier New" w:hAnsi="Courier New"/>
                <w:b w:val="false"/>
                <w:bCs w:val="false"/>
                <w:color w:val="854D0E"/>
                <w:sz w:val="19"/>
                <w:szCs w:val="19"/>
              </w:rPr>
              <w:t xml:space="preserve">  Buy 4,400 NO @ $0.46 (market) = $2,024</w:t>
            </w:r>
          </w:p>
          <w:p>
            <w:pPr>
              <w:shd w:fill="FEF9C3" w:val="clear"/>
              <w:spacing w:after="28" w:before="28"/>
            </w:pPr>
            <w:r>
              <w:rPr>
                <w:rFonts w:ascii="Courier New" w:cs="Courier New" w:eastAsia="Courier New" w:hAnsi="Courier New"/>
                <w:b w:val="false"/>
                <w:bCs w:val="false"/>
                <w:color w:val="854D0E"/>
                <w:sz w:val="19"/>
                <w:szCs w:val="19"/>
              </w:rPr>
              <w:t xml:space="preserve">  Hedge cost: $2,024 - $1,980 = -$44 extra</w:t>
            </w:r>
          </w:p>
          <w:p>
            <w:pPr>
              <w:shd w:fill="FFFBF4" w:val="clear"/>
              <w:spacing w:after="28" w:before="28"/>
            </w:pPr>
            <w:r>
              <w:rPr>
                <w:rFonts w:ascii="Courier New" w:cs="Courier New" w:eastAsia="Courier New" w:hAnsi="Courier New"/>
                <w:b w:val="false"/>
                <w:bCs w:val="false"/>
                <w:color w:val="3B2005"/>
                <w:sz w:val="19"/>
                <w:szCs w:val="19"/>
              </w:rPr>
              <w:t xml:space="preserve">  </w:t>
            </w:r>
          </w:p>
          <w:p>
            <w:pPr>
              <w:shd w:fill="FADA9E" w:val="clear"/>
              <w:spacing w:after="28" w:before="28"/>
            </w:pPr>
            <w:r>
              <w:rPr>
                <w:rFonts w:ascii="Courier New" w:cs="Courier New" w:eastAsia="Courier New" w:hAnsi="Courier New"/>
                <w:b w:val="false"/>
                <w:bCs w:val="false"/>
                <w:color w:val="FADA9E"/>
                <w:sz w:val="19"/>
                <w:szCs w:val="19"/>
              </w:rPr>
              <w:t xml:space="preserve">  Combined result with hedge:</w:t>
            </w:r>
          </w:p>
          <w:p>
            <w:pPr>
              <w:shd w:fill="FFFBF4" w:val="clear"/>
              <w:spacing w:after="28" w:before="28"/>
            </w:pPr>
            <w:r>
              <w:rPr>
                <w:rFonts w:ascii="Courier New" w:cs="Courier New" w:eastAsia="Courier New" w:hAnsi="Courier New"/>
                <w:b w:val="false"/>
                <w:bCs w:val="false"/>
                <w:color w:val="3B2005"/>
                <w:sz w:val="19"/>
                <w:szCs w:val="19"/>
              </w:rPr>
              <w:t xml:space="preserve">  Total deployed: $1,892 + $2,024 = $3,916</w:t>
            </w:r>
          </w:p>
          <w:p>
            <w:pPr>
              <w:shd w:fill="FFFBF4" w:val="clear"/>
              <w:spacing w:after="28" w:before="28"/>
            </w:pPr>
            <w:r>
              <w:rPr>
                <w:rFonts w:ascii="Courier New" w:cs="Courier New" w:eastAsia="Courier New" w:hAnsi="Courier New"/>
                <w:b w:val="false"/>
                <w:bCs w:val="false"/>
                <w:color w:val="3B2005"/>
                <w:sz w:val="19"/>
                <w:szCs w:val="19"/>
              </w:rPr>
              <w:t xml:space="preserve">  Resolution: 4,400 x $1.00 = $4,400</w:t>
            </w:r>
          </w:p>
          <w:p>
            <w:pPr>
              <w:shd w:fill="FFFBF4" w:val="clear"/>
              <w:spacing w:after="28" w:before="28"/>
            </w:pPr>
            <w:r>
              <w:rPr>
                <w:rFonts w:ascii="Courier New" w:cs="Courier New" w:eastAsia="Courier New" w:hAnsi="Courier New"/>
                <w:b w:val="false"/>
                <w:bCs w:val="false"/>
                <w:color w:val="3B2005"/>
                <w:sz w:val="19"/>
                <w:szCs w:val="19"/>
              </w:rPr>
              <w:t xml:space="preserve">  Fees: ~$7.48</w:t>
            </w:r>
          </w:p>
          <w:p>
            <w:pPr>
              <w:shd w:fill="D1FAE5" w:val="clear"/>
              <w:spacing w:after="28" w:before="28"/>
            </w:pPr>
            <w:r>
              <w:rPr>
                <w:rFonts w:ascii="Courier New" w:cs="Courier New" w:eastAsia="Courier New" w:hAnsi="Courier New"/>
                <w:b/>
                <w:bCs/>
                <w:color w:val="065F46"/>
                <w:sz w:val="19"/>
                <w:szCs w:val="19"/>
              </w:rPr>
              <w:t xml:space="preserve">  PROFIT: $4,400 - $3,916 - $7.48 = +$476.52</w:t>
            </w:r>
          </w:p>
          <w:p>
            <w:pPr>
              <w:shd w:fill="D1FAE5" w:val="clear"/>
              <w:spacing w:after="28" w:before="28"/>
            </w:pPr>
            <w:r>
              <w:rPr>
                <w:rFonts w:ascii="Courier New" w:cs="Courier New" w:eastAsia="Courier New" w:hAnsi="Courier New"/>
                <w:b/>
                <w:bCs/>
                <w:color w:val="065F46"/>
                <w:sz w:val="19"/>
                <w:szCs w:val="19"/>
              </w:rPr>
              <w:t xml:space="preserve">  ROI: +12.2% (vs +13.4% unhedged)</w:t>
            </w:r>
          </w:p>
          <w:p>
            <w:pPr>
              <w:shd w:fill="CCFBF1" w:val="clear"/>
              <w:spacing w:after="28" w:before="28"/>
            </w:pPr>
            <w:r>
              <w:rPr>
                <w:rFonts w:ascii="Courier New" w:cs="Courier New" w:eastAsia="Courier New" w:hAnsi="Courier New"/>
                <w:b/>
                <w:bCs/>
                <w:color w:val="0F766E"/>
                <w:sz w:val="19"/>
                <w:szCs w:val="19"/>
              </w:rPr>
              <w:t xml:space="preserve">  Hedge cost: -1.2% — catastrophe eliminated</w:t>
            </w:r>
          </w:p>
        </w:tc>
      </w:tr>
    </w:tbl>
    <w:p>
      <w:pPr>
        <w:spacing w:after="0" w:before="40"/>
      </w:pPr>
      <w:r>
        <w:t xml:space="preserve"/>
      </w:r>
    </w:p>
    <w:p>
      <w:pPr>
        <w:pBdr>
          <w:left w:val="single" w:color="854D0E" w:sz="16"/>
        </w:pBdr>
        <w:shd w:fill="FEF9C3" w:val="clear"/>
        <w:spacing w:after="50" w:before="80"/>
        <w:ind w:left="200"/>
      </w:pPr>
      <w:r>
        <w:rPr>
          <w:rFonts w:ascii="Courier New" w:cs="Courier New" w:eastAsia="Courier New" w:hAnsi="Courier New"/>
          <w:b/>
          <w:bCs/>
          <w:color w:val="854D0E"/>
          <w:sz w:val="16"/>
          <w:szCs w:val="16"/>
        </w:rPr>
        <w:t xml:space="preserve">CAPITAL THRESHOLD AND HEDGE COST ANALYSIS</w:t>
      </w:r>
    </w:p>
    <w:p>
      <w:pPr>
        <w:pBdr>
          <w:left w:val="single" w:color="854D0E" w:sz="16"/>
        </w:pBdr>
        <w:shd w:fill="FEF9C3" w:val="clear"/>
        <w:spacing w:after="40" w:before="40"/>
        <w:ind w:left="200"/>
      </w:pPr>
      <w:r>
        <w:rPr>
          <w:rFonts w:ascii="Arial" w:cs="Arial" w:eastAsia="Arial" w:hAnsi="Arial"/>
          <w:color w:val="3B2005"/>
          <w:sz w:val="21"/>
          <w:szCs w:val="21"/>
        </w:rPr>
        <w:t xml:space="preserve">Below $10,000, the expected value of HYB-02 vs pure ARB-01 is nearly identical — the 13% failure rate on small positions produces manageable losses. Above $10,000, the math changes: a 13% chance of losing $5,000+ on a failed arbitrage has higher expected cost than paying a guaranteed 10-20% hedge premium on every trade. Calculate your break-even capital level: if (0.13 x average_loss_from_partial_fill) &gt; (0.10 x average_profit_per_trade), the hedge is statistically justified.</w:t>
      </w:r>
    </w:p>
    <w:p>
      <w:pPr>
        <w:pBdr>
          <w:left w:val="single" w:color="854D0E" w:sz="16"/>
        </w:pBdr>
        <w:shd w:fill="FEF9C3" w:val="clear"/>
        <w:spacing w:after="60" w:before="40"/>
        <w:ind w:left="200"/>
      </w:pPr>
      <w:r>
        <w:t xml:space="preserve"/>
      </w:r>
    </w:p>
    <w:p>
      <w:pPr>
        <w:shd w:fill="7A3B00" w:val="clear"/>
        <w:spacing w:after="0" w:before="320"/>
      </w:pPr>
      <w:r>
        <w:rPr>
          <w:rFonts w:ascii="Courier New" w:cs="Courier New" w:eastAsia="Courier New" w:hAnsi="Courier New"/>
          <w:b/>
          <w:bCs/>
          <w:color w:val="FDEBD0"/>
          <w:sz w:val="22"/>
          <w:szCs w:val="22"/>
        </w:rPr>
        <w:t xml:space="preserve">  HYB-03  </w:t>
      </w:r>
      <w:r>
        <w:rPr>
          <w:rFonts w:ascii="Arial" w:cs="Arial" w:eastAsia="Arial" w:hAnsi="Arial"/>
          <w:b/>
          <w:bCs/>
          <w:color w:val="FFFFFF"/>
          <w:sz w:val="28"/>
          <w:szCs w:val="28"/>
        </w:rPr>
        <w:t xml:space="preserve">  Fair Value + Momentum Double Signal</w:t>
      </w:r>
    </w:p>
    <w:p>
      <w:pPr>
        <w:shd w:fill="FDEBD0" w:val="clear"/>
        <w:spacing w:after="120" w:before="0"/>
      </w:pPr>
      <w:r>
        <w:rPr>
          <w:rFonts w:ascii="Arial" w:cs="Arial" w:eastAsia="Arial" w:hAnsi="Arial"/>
          <w:i/>
          <w:iCs/>
          <w:color w:val="8B4500"/>
          <w:sz w:val="20"/>
          <w:szCs w:val="20"/>
        </w:rPr>
        <w:t xml:space="preserve">  Execute only when price divergence AND volume momentum confirm simultaneously — filter out all false positives.</w:t>
      </w:r>
    </w:p>
    <w:p>
      <w:pPr>
        <w:spacing w:after="60" w:before="60"/>
      </w:pPr>
      <w:r>
        <w:rPr>
          <w:rFonts w:ascii="Arial" w:cs="Arial" w:eastAsia="Arial" w:hAnsi="Arial"/>
          <w:color w:val="3B2005"/>
          <w:sz w:val="22"/>
          <w:szCs w:val="22"/>
        </w:rPr>
        <w:t xml:space="preserve">IA-03 (Fair Value Model) and TRADE-02 (Momentum Trading) each generate profitable signals independently. But each also generates false positives that the other would have filtered. IA-03 can identify a market as mispriced when the market is </w:t>
      </w:r>
      <w:r>
        <w:rPr>
          <w:rFonts w:ascii="Arial" w:cs="Arial" w:eastAsia="Arial" w:hAnsi="Arial"/>
          <w:i/>
          <w:iCs/>
          <w:color w:val="6B430A"/>
          <w:sz w:val="22"/>
          <w:szCs w:val="22"/>
        </w:rPr>
        <w:t xml:space="preserve">correct</w:t>
      </w:r>
      <w:r>
        <w:rPr>
          <w:rFonts w:ascii="Arial" w:cs="Arial" w:eastAsia="Arial" w:hAnsi="Arial"/>
          <w:color w:val="3B2005"/>
          <w:sz w:val="22"/>
          <w:szCs w:val="22"/>
        </w:rPr>
        <w:t xml:space="preserve"> and the model is wrong. TRADE-02 can identify strong momentum when the trend is about to reverse. HYB-03 requires </w:t>
      </w:r>
      <w:r>
        <w:rPr>
          <w:rFonts w:ascii="Arial" w:cs="Arial" w:eastAsia="Arial" w:hAnsi="Arial"/>
          <w:b/>
          <w:bCs/>
          <w:color w:val="1C1007"/>
          <w:sz w:val="22"/>
          <w:szCs w:val="22"/>
        </w:rPr>
        <w:t xml:space="preserve">both signals to fire simultaneously</w:t>
      </w:r>
      <w:r>
        <w:rPr>
          <w:rFonts w:ascii="Arial" w:cs="Arial" w:eastAsia="Arial" w:hAnsi="Arial"/>
          <w:color w:val="3B2005"/>
          <w:sz w:val="22"/>
          <w:szCs w:val="22"/>
        </w:rPr>
        <w:t xml:space="preserve"> before executing — the logical AND of two independent filters.</w:t>
      </w:r>
    </w:p>
    <w:p>
      <w:pPr>
        <w:spacing w:after="0" w:before="40"/>
      </w:pPr>
      <w:r>
        <w:t xml:space="preserve"/>
      </w:r>
    </w:p>
    <w:p>
      <w:pPr>
        <w:spacing w:after="60" w:before="60"/>
      </w:pPr>
      <w:r>
        <w:rPr>
          <w:rFonts w:ascii="Arial" w:cs="Arial" w:eastAsia="Arial" w:hAnsi="Arial"/>
          <w:color w:val="3B2005"/>
          <w:sz w:val="22"/>
          <w:szCs w:val="22"/>
        </w:rPr>
        <w:t xml:space="preserve">The mathematics of signal combination: if IA-03 has a 65% true-positive rate and TRADE-02 has a 60% true-positive rate, and both are moderately correlated (correlation ≈ 0.3 for both detecting genuine mispricings), then their intersection produces approximately </w:t>
      </w:r>
      <w:r>
        <w:rPr>
          <w:rFonts w:ascii="Arial" w:cs="Arial" w:eastAsia="Arial" w:hAnsi="Arial"/>
          <w:b/>
          <w:bCs/>
          <w:color w:val="1C1007"/>
          <w:sz w:val="22"/>
          <w:szCs w:val="22"/>
        </w:rPr>
        <w:t xml:space="preserve">75–80% true-positive rate</w:t>
      </w:r>
      <w:r>
        <w:rPr>
          <w:rFonts w:ascii="Arial" w:cs="Arial" w:eastAsia="Arial" w:hAnsi="Arial"/>
          <w:color w:val="3B2005"/>
          <w:sz w:val="22"/>
          <w:szCs w:val="22"/>
        </w:rPr>
        <w:t xml:space="preserve"> on the trades that pass both filters. The cost is frequency — perhaps only 20–30% of IA-03 signals will also have TRADE-02 confirmation at the same time. The result: </w:t>
      </w:r>
      <w:r>
        <w:rPr>
          <w:rFonts w:ascii="Arial" w:cs="Arial" w:eastAsia="Arial" w:hAnsi="Arial"/>
          <w:b/>
          <w:bCs/>
          <w:color w:val="1C1007"/>
          <w:sz w:val="22"/>
          <w:szCs w:val="22"/>
        </w:rPr>
        <w:t xml:space="preserve">fewer trades, each with significantly higher conviction and win rate.</w:t>
      </w:r>
      <w:r>
        <w:rPr>
          <w:rFonts w:ascii="Arial" w:cs="Arial" w:eastAsia="Arial" w:hAnsi="Arial"/>
          <w:color w:val="3B2005"/>
          <w:sz w:val="22"/>
          <w:szCs w:val="22"/>
        </w:rPr>
        <w:t xml:space="preserve"> This is the quality-over-quantity principle applied systematically.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ADA9E" w:sz="1"/>
              <w:left w:val="single" w:color="FADA9E" w:sz="1"/>
              <w:bottom w:val="single" w:color="FADA9E" w:sz="1"/>
              <w:right w:val="single" w:color="FADA9E" w:sz="1"/>
            </w:tcBorders>
            <w:shd w:fill="FDEBD0" w:val="clear"/>
            <w:tcMar>
              <w:top w:type="dxa" w:w="140"/>
              <w:left w:type="dxa" w:w="180"/>
              <w:bottom w:type="dxa" w:w="140"/>
              <w:right w:type="dxa" w:w="180"/>
            </w:tcMar>
          </w:tcPr>
          <w:p>
            <w:pPr>
              <w:spacing w:after="100" w:before="40"/>
            </w:pPr>
            <w:r>
              <w:rPr>
                <w:rFonts w:ascii="Courier New" w:cs="Courier New" w:eastAsia="Courier New" w:hAnsi="Courier New"/>
                <w:b/>
                <w:bCs/>
                <w:color w:val="7A3B00"/>
                <w:sz w:val="17"/>
                <w:szCs w:val="17"/>
              </w:rPr>
              <w:t xml:space="preserve">EXECUTION STEPS</w:t>
            </w:r>
          </w:p>
          <w:p>
            <w:pPr>
              <w:spacing w:after="55" w:before="55"/>
            </w:pPr>
            <w:r>
              <w:rPr>
                <w:rFonts w:ascii="Courier New" w:cs="Courier New" w:eastAsia="Courier New" w:hAnsi="Courier New"/>
                <w:b/>
                <w:bCs/>
                <w:color w:val="B85C00"/>
                <w:sz w:val="20"/>
                <w:szCs w:val="20"/>
              </w:rPr>
              <w:t xml:space="preserve">1.  </w:t>
            </w:r>
            <w:r>
              <w:rPr>
                <w:rFonts w:ascii="Arial" w:cs="Arial" w:eastAsia="Arial" w:hAnsi="Arial"/>
                <w:color w:val="3B2005"/>
                <w:sz w:val="21"/>
                <w:szCs w:val="21"/>
              </w:rPr>
              <w:t xml:space="preserve">Run IA-03 continuously: calculate fair_value for all monitored markets every 60 seconds using your statistical model. Flag any market where |market_price - fair_value| &gt; 5%.</w:t>
            </w:r>
          </w:p>
          <w:p>
            <w:pPr>
              <w:spacing w:after="55" w:before="55"/>
            </w:pPr>
            <w:r>
              <w:rPr>
                <w:rFonts w:ascii="Courier New" w:cs="Courier New" w:eastAsia="Courier New" w:hAnsi="Courier New"/>
                <w:b/>
                <w:bCs/>
                <w:color w:val="B85C00"/>
                <w:sz w:val="20"/>
                <w:szCs w:val="20"/>
              </w:rPr>
              <w:t xml:space="preserve">2.  </w:t>
            </w:r>
            <w:r>
              <w:rPr>
                <w:rFonts w:ascii="Arial" w:cs="Arial" w:eastAsia="Arial" w:hAnsi="Arial"/>
                <w:color w:val="3B2005"/>
                <w:sz w:val="21"/>
                <w:szCs w:val="21"/>
              </w:rPr>
              <w:t xml:space="preserve">For each flagged market from Step 1, check the TRADE-02 momentum condition: has the probability moved in the direction of fair value by at least 8 percentage points in the last 48 hours WITH volume at least 1.8x the 7-day average?</w:t>
            </w:r>
          </w:p>
          <w:p>
            <w:pPr>
              <w:spacing w:after="55" w:before="55"/>
            </w:pPr>
            <w:r>
              <w:rPr>
                <w:rFonts w:ascii="Courier New" w:cs="Courier New" w:eastAsia="Courier New" w:hAnsi="Courier New"/>
                <w:b/>
                <w:bCs/>
                <w:color w:val="B85C00"/>
                <w:sz w:val="20"/>
                <w:szCs w:val="20"/>
              </w:rPr>
              <w:t xml:space="preserve">3.  </w:t>
            </w:r>
            <w:r>
              <w:rPr>
                <w:rFonts w:ascii="Arial" w:cs="Arial" w:eastAsia="Arial" w:hAnsi="Arial"/>
                <w:color w:val="3B2005"/>
                <w:sz w:val="21"/>
                <w:szCs w:val="21"/>
              </w:rPr>
              <w:t xml:space="preserve">Execute ONLY if BOTH conditions are met simultaneously. Log the IA-03 divergence magnitude and the TRADE-02 volume multiple — these become inputs to position sizing.</w:t>
            </w:r>
          </w:p>
          <w:p>
            <w:pPr>
              <w:spacing w:after="55" w:before="55"/>
            </w:pPr>
            <w:r>
              <w:rPr>
                <w:rFonts w:ascii="Courier New" w:cs="Courier New" w:eastAsia="Courier New" w:hAnsi="Courier New"/>
                <w:b/>
                <w:bCs/>
                <w:color w:val="B85C00"/>
                <w:sz w:val="20"/>
                <w:szCs w:val="20"/>
              </w:rPr>
              <w:t xml:space="preserve">4.  </w:t>
            </w:r>
            <w:r>
              <w:rPr>
                <w:rFonts w:ascii="Arial" w:cs="Arial" w:eastAsia="Arial" w:hAnsi="Arial"/>
                <w:color w:val="3B2005"/>
                <w:sz w:val="21"/>
                <w:szCs w:val="21"/>
              </w:rPr>
              <w:t xml:space="preserve">Size the position using a modified Kelly Criterion: edge = (IA-03 divergence) x (TRADE-02 volume_multiple / 2.0). Higher divergence AND higher volume = larger position.</w:t>
            </w:r>
          </w:p>
          <w:p>
            <w:pPr>
              <w:spacing w:after="55" w:before="55"/>
            </w:pPr>
            <w:r>
              <w:rPr>
                <w:rFonts w:ascii="Courier New" w:cs="Courier New" w:eastAsia="Courier New" w:hAnsi="Courier New"/>
                <w:b/>
                <w:bCs/>
                <w:color w:val="B85C00"/>
                <w:sz w:val="20"/>
                <w:szCs w:val="20"/>
              </w:rPr>
              <w:t xml:space="preserve">5.  </w:t>
            </w:r>
            <w:r>
              <w:rPr>
                <w:rFonts w:ascii="Arial" w:cs="Arial" w:eastAsia="Arial" w:hAnsi="Arial"/>
                <w:color w:val="3B2005"/>
                <w:sz w:val="21"/>
                <w:szCs w:val="21"/>
              </w:rPr>
              <w:t xml:space="preserve">Set exit targets using TRADE-02 rules: primary target at 48–52% probability zone; mandatory exit at T-48h before event resolution. Do NOT hold to resolution on a momentum trade.</w:t>
            </w:r>
          </w:p>
          <w:p>
            <w:pPr>
              <w:spacing w:after="55" w:before="55"/>
            </w:pPr>
            <w:r>
              <w:rPr>
                <w:rFonts w:ascii="Courier New" w:cs="Courier New" w:eastAsia="Courier New" w:hAnsi="Courier New"/>
                <w:b/>
                <w:bCs/>
                <w:color w:val="B85C00"/>
                <w:sz w:val="20"/>
                <w:szCs w:val="20"/>
              </w:rPr>
              <w:t xml:space="preserve">6.  </w:t>
            </w:r>
            <w:r>
              <w:rPr>
                <w:rFonts w:ascii="Arial" w:cs="Arial" w:eastAsia="Arial" w:hAnsi="Arial"/>
                <w:color w:val="3B2005"/>
                <w:sz w:val="21"/>
                <w:szCs w:val="21"/>
              </w:rPr>
              <w:t xml:space="preserve">Track signal statistics separately: log how often IA-03 fires, how often TRADE-02 fires, and how often both fire together. Monitor the win rate of combined vs. individual signals to validate the synergy empirically.</w:t>
            </w:r>
          </w:p>
        </w:tc>
        <w:tc>
          <w:tcPr>
            <w:tcW w:type="dxa" w:w="4680"/>
            <w:tcBorders>
              <w:top w:val="single" w:color="FADA9E" w:sz="1"/>
              <w:left w:val="single" w:color="FADA9E" w:sz="1"/>
              <w:bottom w:val="single" w:color="FADA9E" w:sz="1"/>
              <w:right w:val="single" w:color="FADA9E" w:sz="1"/>
            </w:tcBorders>
            <w:shd w:fill="FEF3E2" w:val="clear"/>
            <w:tcMar>
              <w:top w:type="dxa" w:w="140"/>
              <w:left w:type="dxa" w:w="180"/>
              <w:bottom w:type="dxa" w:w="140"/>
              <w:right w:type="dxa" w:w="180"/>
            </w:tcMar>
          </w:tcPr>
          <w:p>
            <w:pPr>
              <w:spacing w:after="100" w:before="40"/>
            </w:pPr>
            <w:r>
              <w:rPr>
                <w:rFonts w:ascii="Courier New" w:cs="Courier New" w:eastAsia="Courier New" w:hAnsi="Courier New"/>
                <w:b/>
                <w:bCs/>
                <w:color w:val="B85C00"/>
                <w:sz w:val="17"/>
                <w:szCs w:val="17"/>
              </w:rPr>
              <w:t xml:space="preserve">NUMERICAL EXAMPLE</w:t>
            </w:r>
          </w:p>
          <w:p>
            <w:pPr>
              <w:shd w:fill="8B4500" w:val="clear"/>
              <w:spacing w:after="28" w:before="28"/>
            </w:pPr>
            <w:r>
              <w:rPr>
                <w:rFonts w:ascii="Courier New" w:cs="Courier New" w:eastAsia="Courier New" w:hAnsi="Courier New"/>
                <w:b/>
                <w:bCs/>
                <w:color w:val="FDEBD0"/>
                <w:sz w:val="19"/>
                <w:szCs w:val="19"/>
              </w:rPr>
              <w:t xml:space="preserve">  MONITORED MARKET: "Will Fed cut rates Q3?"</w:t>
            </w:r>
          </w:p>
          <w:p>
            <w:pPr>
              <w:shd w:fill="FFFBF4" w:val="clear"/>
              <w:spacing w:after="28" w:before="28"/>
            </w:pPr>
            <w:r>
              <w:rPr>
                <w:rFonts w:ascii="Courier New" w:cs="Courier New" w:eastAsia="Courier New" w:hAnsi="Courier New"/>
                <w:b w:val="false"/>
                <w:bCs w:val="false"/>
                <w:color w:val="3B2005"/>
                <w:sz w:val="19"/>
                <w:szCs w:val="19"/>
              </w:rPr>
              <w:t xml:space="preserve">  </w:t>
            </w:r>
          </w:p>
          <w:p>
            <w:pPr>
              <w:shd w:fill="FADA9E" w:val="clear"/>
              <w:spacing w:after="28" w:before="28"/>
            </w:pPr>
            <w:r>
              <w:rPr>
                <w:rFonts w:ascii="Courier New" w:cs="Courier New" w:eastAsia="Courier New" w:hAnsi="Courier New"/>
                <w:b w:val="false"/>
                <w:bCs w:val="false"/>
                <w:color w:val="FADA9E"/>
                <w:sz w:val="19"/>
                <w:szCs w:val="19"/>
              </w:rPr>
              <w:t xml:space="preserve">  --- IA-03 SIGNAL (Thursday 14:00) ---</w:t>
            </w:r>
          </w:p>
          <w:p>
            <w:pPr>
              <w:shd w:fill="FFFBF4" w:val="clear"/>
              <w:spacing w:after="28" w:before="28"/>
            </w:pPr>
            <w:r>
              <w:rPr>
                <w:rFonts w:ascii="Courier New" w:cs="Courier New" w:eastAsia="Courier New" w:hAnsi="Courier New"/>
                <w:b w:val="false"/>
                <w:bCs w:val="false"/>
                <w:color w:val="3B2005"/>
                <w:sz w:val="19"/>
                <w:szCs w:val="19"/>
              </w:rPr>
              <w:t xml:space="preserve">  Model fair value: YES = $0.68</w:t>
            </w:r>
          </w:p>
          <w:p>
            <w:pPr>
              <w:shd w:fill="FFFBF4" w:val="clear"/>
              <w:spacing w:after="28" w:before="28"/>
            </w:pPr>
            <w:r>
              <w:rPr>
                <w:rFonts w:ascii="Courier New" w:cs="Courier New" w:eastAsia="Courier New" w:hAnsi="Courier New"/>
                <w:b w:val="false"/>
                <w:bCs w:val="false"/>
                <w:color w:val="3B2005"/>
                <w:sz w:val="19"/>
                <w:szCs w:val="19"/>
              </w:rPr>
              <w:t xml:space="preserve">  Market price:     YES = $0.51</w:t>
            </w:r>
          </w:p>
          <w:p>
            <w:pPr>
              <w:shd w:fill="D1FAE5" w:val="clear"/>
              <w:spacing w:after="28" w:before="28"/>
            </w:pPr>
            <w:r>
              <w:rPr>
                <w:rFonts w:ascii="Courier New" w:cs="Courier New" w:eastAsia="Courier New" w:hAnsi="Courier New"/>
                <w:b/>
                <w:bCs/>
                <w:color w:val="065F46"/>
                <w:sz w:val="19"/>
                <w:szCs w:val="19"/>
              </w:rPr>
              <w:t xml:space="preserve">  Divergence: +17 ppts  [THRESHOLD MET: &gt;5%]</w:t>
            </w:r>
          </w:p>
          <w:p>
            <w:pPr>
              <w:shd w:fill="D1FAE5" w:val="clear"/>
              <w:spacing w:after="28" w:before="28"/>
            </w:pPr>
            <w:r>
              <w:rPr>
                <w:rFonts w:ascii="Courier New" w:cs="Courier New" w:eastAsia="Courier New" w:hAnsi="Courier New"/>
                <w:b/>
                <w:bCs/>
                <w:color w:val="065F46"/>
                <w:sz w:val="19"/>
                <w:szCs w:val="19"/>
              </w:rPr>
              <w:t xml:space="preserve">  IA-03 Signal: STRONG BUY</w:t>
            </w:r>
          </w:p>
          <w:p>
            <w:pPr>
              <w:shd w:fill="FFFBF4" w:val="clear"/>
              <w:spacing w:after="28" w:before="28"/>
            </w:pPr>
            <w:r>
              <w:rPr>
                <w:rFonts w:ascii="Courier New" w:cs="Courier New" w:eastAsia="Courier New" w:hAnsi="Courier New"/>
                <w:b w:val="false"/>
                <w:bCs w:val="false"/>
                <w:color w:val="3B2005"/>
                <w:sz w:val="19"/>
                <w:szCs w:val="19"/>
              </w:rPr>
              <w:t xml:space="preserve">  </w:t>
            </w:r>
          </w:p>
          <w:p>
            <w:pPr>
              <w:shd w:fill="FADA9E" w:val="clear"/>
              <w:spacing w:after="28" w:before="28"/>
            </w:pPr>
            <w:r>
              <w:rPr>
                <w:rFonts w:ascii="Courier New" w:cs="Courier New" w:eastAsia="Courier New" w:hAnsi="Courier New"/>
                <w:b w:val="false"/>
                <w:bCs w:val="false"/>
                <w:color w:val="FADA9E"/>
                <w:sz w:val="19"/>
                <w:szCs w:val="19"/>
              </w:rPr>
              <w:t xml:space="preserve">  --- TRADE-02 CHECK (same moment) ---</w:t>
            </w:r>
          </w:p>
          <w:p>
            <w:pPr>
              <w:shd w:fill="FFFBF4" w:val="clear"/>
              <w:spacing w:after="28" w:before="28"/>
            </w:pPr>
            <w:r>
              <w:rPr>
                <w:rFonts w:ascii="Courier New" w:cs="Courier New" w:eastAsia="Courier New" w:hAnsi="Courier New"/>
                <w:b w:val="false"/>
                <w:bCs w:val="false"/>
                <w:color w:val="3B2005"/>
                <w:sz w:val="19"/>
                <w:szCs w:val="19"/>
              </w:rPr>
              <w:t xml:space="preserve">  YES price 48h ago: $0.43</w:t>
            </w:r>
          </w:p>
          <w:p>
            <w:pPr>
              <w:shd w:fill="FFFBF4" w:val="clear"/>
              <w:spacing w:after="28" w:before="28"/>
            </w:pPr>
            <w:r>
              <w:rPr>
                <w:rFonts w:ascii="Courier New" w:cs="Courier New" w:eastAsia="Courier New" w:hAnsi="Courier New"/>
                <w:b w:val="false"/>
                <w:bCs w:val="false"/>
                <w:color w:val="3B2005"/>
                <w:sz w:val="19"/>
                <w:szCs w:val="19"/>
              </w:rPr>
              <w:t xml:space="preserve">  YES price now:     $0.51</w:t>
            </w:r>
          </w:p>
          <w:p>
            <w:pPr>
              <w:shd w:fill="D1FAE5" w:val="clear"/>
              <w:spacing w:after="28" w:before="28"/>
            </w:pPr>
            <w:r>
              <w:rPr>
                <w:rFonts w:ascii="Courier New" w:cs="Courier New" w:eastAsia="Courier New" w:hAnsi="Courier New"/>
                <w:b/>
                <w:bCs/>
                <w:color w:val="065F46"/>
                <w:sz w:val="19"/>
                <w:szCs w:val="19"/>
              </w:rPr>
              <w:t xml:space="preserve">  Movement: +8 ppts in direction of fair value</w:t>
            </w:r>
          </w:p>
          <w:p>
            <w:pPr>
              <w:shd w:fill="FEF3E2" w:val="clear"/>
              <w:spacing w:after="28" w:before="28"/>
            </w:pPr>
            <w:r>
              <w:rPr>
                <w:rFonts w:ascii="Courier New" w:cs="Courier New" w:eastAsia="Courier New" w:hAnsi="Courier New"/>
                <w:b w:val="false"/>
                <w:bCs w:val="false"/>
                <w:color w:val="6B430A"/>
                <w:sz w:val="19"/>
                <w:szCs w:val="19"/>
              </w:rPr>
              <w:t xml:space="preserve">      Volume (48h): $42,300</w:t>
            </w:r>
          </w:p>
          <w:p>
            <w:pPr>
              <w:shd w:fill="FEF3E2" w:val="clear"/>
              <w:spacing w:after="28" w:before="28"/>
            </w:pPr>
            <w:r>
              <w:rPr>
                <w:rFonts w:ascii="Courier New" w:cs="Courier New" w:eastAsia="Courier New" w:hAnsi="Courier New"/>
                <w:b w:val="false"/>
                <w:bCs w:val="false"/>
                <w:color w:val="6B430A"/>
                <w:sz w:val="19"/>
                <w:szCs w:val="19"/>
              </w:rPr>
              <w:t xml:space="preserve">      7-day avg volume: $21,100</w:t>
            </w:r>
          </w:p>
          <w:p>
            <w:pPr>
              <w:shd w:fill="D1FAE5" w:val="clear"/>
              <w:spacing w:after="28" w:before="28"/>
            </w:pPr>
            <w:r>
              <w:rPr>
                <w:rFonts w:ascii="Courier New" w:cs="Courier New" w:eastAsia="Courier New" w:hAnsi="Courier New"/>
                <w:b/>
                <w:bCs/>
                <w:color w:val="065F46"/>
                <w:sz w:val="19"/>
                <w:szCs w:val="19"/>
              </w:rPr>
              <w:t xml:space="preserve">  Volume multiple: 2.0x  [THRESHOLD MET: &gt;1.8x]</w:t>
            </w:r>
          </w:p>
          <w:p>
            <w:pPr>
              <w:shd w:fill="D1FAE5" w:val="clear"/>
              <w:spacing w:after="28" w:before="28"/>
            </w:pPr>
            <w:r>
              <w:rPr>
                <w:rFonts w:ascii="Courier New" w:cs="Courier New" w:eastAsia="Courier New" w:hAnsi="Courier New"/>
                <w:b/>
                <w:bCs/>
                <w:color w:val="065F46"/>
                <w:sz w:val="19"/>
                <w:szCs w:val="19"/>
              </w:rPr>
              <w:t xml:space="preserve">  TRADE-02 Signal: MOMENTUM CONFIRMED</w:t>
            </w:r>
          </w:p>
          <w:p>
            <w:pPr>
              <w:shd w:fill="FFFBF4" w:val="clear"/>
              <w:spacing w:after="28" w:before="28"/>
            </w:pPr>
            <w:r>
              <w:rPr>
                <w:rFonts w:ascii="Courier New" w:cs="Courier New" w:eastAsia="Courier New" w:hAnsi="Courier New"/>
                <w:b w:val="false"/>
                <w:bCs w:val="false"/>
                <w:color w:val="3B2005"/>
                <w:sz w:val="19"/>
                <w:szCs w:val="19"/>
              </w:rPr>
              <w:t xml:space="preserve">  </w:t>
            </w:r>
          </w:p>
          <w:p>
            <w:pPr>
              <w:shd w:fill="CCFBF1" w:val="clear"/>
              <w:spacing w:after="28" w:before="28"/>
            </w:pPr>
            <w:r>
              <w:rPr>
                <w:rFonts w:ascii="Courier New" w:cs="Courier New" w:eastAsia="Courier New" w:hAnsi="Courier New"/>
                <w:b/>
                <w:bCs/>
                <w:color w:val="0F766E"/>
                <w:sz w:val="19"/>
                <w:szCs w:val="19"/>
              </w:rPr>
              <w:t xml:space="preserve">  BOTH SIGNALS ACTIVE -&gt; EXECUTE</w:t>
            </w:r>
          </w:p>
          <w:p>
            <w:pPr>
              <w:shd w:fill="FFFBF4" w:val="clear"/>
              <w:spacing w:after="28" w:before="28"/>
            </w:pPr>
            <w:r>
              <w:rPr>
                <w:rFonts w:ascii="Courier New" w:cs="Courier New" w:eastAsia="Courier New" w:hAnsi="Courier New"/>
                <w:b w:val="false"/>
                <w:bCs w:val="false"/>
                <w:color w:val="3B2005"/>
                <w:sz w:val="19"/>
                <w:szCs w:val="19"/>
              </w:rPr>
              <w:t xml:space="preserve">  </w:t>
            </w:r>
          </w:p>
          <w:p>
            <w:pPr>
              <w:shd w:fill="FADA9E" w:val="clear"/>
              <w:spacing w:after="28" w:before="28"/>
            </w:pPr>
            <w:r>
              <w:rPr>
                <w:rFonts w:ascii="Courier New" w:cs="Courier New" w:eastAsia="Courier New" w:hAnsi="Courier New"/>
                <w:b w:val="false"/>
                <w:bCs w:val="false"/>
                <w:color w:val="FADA9E"/>
                <w:sz w:val="19"/>
                <w:szCs w:val="19"/>
              </w:rPr>
              <w:t xml:space="preserve">  --- ENTRY ---</w:t>
            </w:r>
          </w:p>
          <w:p>
            <w:pPr>
              <w:shd w:fill="FFFBF4" w:val="clear"/>
              <w:spacing w:after="28" w:before="28"/>
            </w:pPr>
            <w:r>
              <w:rPr>
                <w:rFonts w:ascii="Courier New" w:cs="Courier New" w:eastAsia="Courier New" w:hAnsi="Courier New"/>
                <w:b w:val="false"/>
                <w:bCs w:val="false"/>
                <w:color w:val="3B2005"/>
                <w:sz w:val="19"/>
                <w:szCs w:val="19"/>
              </w:rPr>
              <w:t xml:space="preserve">  Kelly edge = 0.17 x (2.0/2.0) = 0.17</w:t>
            </w:r>
          </w:p>
          <w:p>
            <w:pPr>
              <w:shd w:fill="FFFBF4" w:val="clear"/>
              <w:spacing w:after="28" w:before="28"/>
            </w:pPr>
            <w:r>
              <w:rPr>
                <w:rFonts w:ascii="Courier New" w:cs="Courier New" w:eastAsia="Courier New" w:hAnsi="Courier New"/>
                <w:b w:val="false"/>
                <w:bCs w:val="false"/>
                <w:color w:val="3B2005"/>
                <w:sz w:val="19"/>
                <w:szCs w:val="19"/>
              </w:rPr>
              <w:t xml:space="preserve">  Position: 3,000 YES @ $0.51 = $1,530</w:t>
            </w:r>
          </w:p>
          <w:p>
            <w:pPr>
              <w:shd w:fill="FFFBF4" w:val="clear"/>
              <w:spacing w:after="28" w:before="28"/>
            </w:pPr>
            <w:r>
              <w:rPr>
                <w:rFonts w:ascii="Courier New" w:cs="Courier New" w:eastAsia="Courier New" w:hAnsi="Courier New"/>
                <w:b w:val="false"/>
                <w:bCs w:val="false"/>
                <w:color w:val="3B2005"/>
                <w:sz w:val="19"/>
                <w:szCs w:val="19"/>
              </w:rPr>
              <w:t xml:space="preserve">  </w:t>
            </w:r>
          </w:p>
          <w:p>
            <w:pPr>
              <w:shd w:fill="FADA9E" w:val="clear"/>
              <w:spacing w:after="28" w:before="28"/>
            </w:pPr>
            <w:r>
              <w:rPr>
                <w:rFonts w:ascii="Courier New" w:cs="Courier New" w:eastAsia="Courier New" w:hAnsi="Courier New"/>
                <w:b w:val="false"/>
                <w:bCs w:val="false"/>
                <w:color w:val="FADA9E"/>
                <w:sz w:val="19"/>
                <w:szCs w:val="19"/>
              </w:rPr>
              <w:t xml:space="preserve">  --- EXIT (8 days later @ $0.64) ---</w:t>
            </w:r>
          </w:p>
          <w:p>
            <w:pPr>
              <w:shd w:fill="FFFBF4" w:val="clear"/>
              <w:spacing w:after="28" w:before="28"/>
            </w:pPr>
            <w:r>
              <w:rPr>
                <w:rFonts w:ascii="Courier New" w:cs="Courier New" w:eastAsia="Courier New" w:hAnsi="Courier New"/>
                <w:b w:val="false"/>
                <w:bCs w:val="false"/>
                <w:color w:val="3B2005"/>
                <w:sz w:val="19"/>
                <w:szCs w:val="19"/>
              </w:rPr>
              <w:t xml:space="preserve">  Proceeds: 3,000 x $0.64 = $1,920</w:t>
            </w:r>
          </w:p>
          <w:p>
            <w:pPr>
              <w:shd w:fill="FEF3E2" w:val="clear"/>
              <w:spacing w:after="28" w:before="28"/>
            </w:pPr>
            <w:r>
              <w:rPr>
                <w:rFonts w:ascii="Courier New" w:cs="Courier New" w:eastAsia="Courier New" w:hAnsi="Courier New"/>
                <w:b w:val="false"/>
                <w:bCs w:val="false"/>
                <w:color w:val="6B430A"/>
                <w:sz w:val="19"/>
                <w:szCs w:val="19"/>
              </w:rPr>
              <w:t xml:space="preserve">      Fee: 0.002 x 0.36 x 3000 = -$2.16</w:t>
            </w:r>
          </w:p>
          <w:p>
            <w:pPr>
              <w:shd w:fill="FFFBF4" w:val="clear"/>
              <w:spacing w:after="28" w:before="28"/>
            </w:pPr>
            <w:r>
              <w:rPr>
                <w:rFonts w:ascii="Courier New" w:cs="Courier New" w:eastAsia="Courier New" w:hAnsi="Courier New"/>
                <w:b w:val="false"/>
                <w:bCs w:val="false"/>
                <w:color w:val="3B2005"/>
                <w:sz w:val="19"/>
                <w:szCs w:val="19"/>
              </w:rPr>
              <w:t xml:space="preserve">  </w:t>
            </w:r>
          </w:p>
          <w:p>
            <w:pPr>
              <w:shd w:fill="D1FAE5" w:val="clear"/>
              <w:spacing w:after="28" w:before="28"/>
            </w:pPr>
            <w:r>
              <w:rPr>
                <w:rFonts w:ascii="Courier New" w:cs="Courier New" w:eastAsia="Courier New" w:hAnsi="Courier New"/>
                <w:b/>
                <w:bCs/>
                <w:color w:val="065F46"/>
                <w:sz w:val="19"/>
                <w:szCs w:val="19"/>
              </w:rPr>
              <w:t xml:space="preserve">  PROFIT: $1,920 - $1,530 - $2.16 = +$387.84</w:t>
            </w:r>
          </w:p>
          <w:p>
            <w:pPr>
              <w:shd w:fill="D1FAE5" w:val="clear"/>
              <w:spacing w:after="28" w:before="28"/>
            </w:pPr>
            <w:r>
              <w:rPr>
                <w:rFonts w:ascii="Courier New" w:cs="Courier New" w:eastAsia="Courier New" w:hAnsi="Courier New"/>
                <w:b/>
                <w:bCs/>
                <w:color w:val="065F46"/>
                <w:sz w:val="19"/>
                <w:szCs w:val="19"/>
              </w:rPr>
              <w:t xml:space="preserve">  ROI: +25.3%  |  8-day hold</w:t>
            </w:r>
          </w:p>
          <w:p>
            <w:pPr>
              <w:shd w:fill="FEF9C3" w:val="clear"/>
              <w:spacing w:after="28" w:before="28"/>
            </w:pPr>
            <w:r>
              <w:rPr>
                <w:rFonts w:ascii="Courier New" w:cs="Courier New" w:eastAsia="Courier New" w:hAnsi="Courier New"/>
                <w:b w:val="false"/>
                <w:bCs w:val="false"/>
                <w:color w:val="854D0E"/>
                <w:sz w:val="19"/>
                <w:szCs w:val="19"/>
              </w:rPr>
              <w:t xml:space="preserve">  vs IA-03 alone: 65% win rate</w:t>
            </w:r>
          </w:p>
          <w:p>
            <w:pPr>
              <w:shd w:fill="CCFBF1" w:val="clear"/>
              <w:spacing w:after="28" w:before="28"/>
            </w:pPr>
            <w:r>
              <w:rPr>
                <w:rFonts w:ascii="Courier New" w:cs="Courier New" w:eastAsia="Courier New" w:hAnsi="Courier New"/>
                <w:b/>
                <w:bCs/>
                <w:color w:val="0F766E"/>
                <w:sz w:val="19"/>
                <w:szCs w:val="19"/>
              </w:rPr>
              <w:t xml:space="preserve">  vs HYB-03 combined: ~77% win rate</w:t>
            </w:r>
          </w:p>
        </w:tc>
      </w:tr>
    </w:tbl>
    <w:p>
      <w:pPr>
        <w:spacing w:after="0" w:before="40"/>
      </w:pPr>
      <w:r>
        <w:t xml:space="preserve"/>
      </w:r>
    </w:p>
    <w:p>
      <w:pPr>
        <w:pBdr>
          <w:left w:val="single" w:color="991B1B" w:sz="16"/>
        </w:pBdr>
        <w:shd w:fill="FEE2E2" w:val="clear"/>
        <w:spacing w:after="50" w:before="80"/>
        <w:ind w:left="200"/>
      </w:pPr>
      <w:r>
        <w:rPr>
          <w:rFonts w:ascii="Courier New" w:cs="Courier New" w:eastAsia="Courier New" w:hAnsi="Courier New"/>
          <w:b/>
          <w:bCs/>
          <w:color w:val="991B1B"/>
          <w:sz w:val="16"/>
          <w:szCs w:val="16"/>
        </w:rPr>
        <w:t xml:space="preserve">SIGNAL TIMING SYNCHRONIZATION</w:t>
      </w:r>
    </w:p>
    <w:p>
      <w:pPr>
        <w:pBdr>
          <w:left w:val="single" w:color="991B1B" w:sz="16"/>
        </w:pBdr>
        <w:shd w:fill="FEE2E2" w:val="clear"/>
        <w:spacing w:after="40" w:before="40"/>
        <w:ind w:left="200"/>
      </w:pPr>
      <w:r>
        <w:rPr>
          <w:rFonts w:ascii="Arial" w:cs="Arial" w:eastAsia="Arial" w:hAnsi="Arial"/>
          <w:color w:val="3B2005"/>
          <w:sz w:val="21"/>
          <w:szCs w:val="21"/>
        </w:rPr>
        <w:t xml:space="preserve">The most common failure mode in HYB-03 is executing when one signal is "stale" — for example, IA-03 detected the divergence yesterday and TRADE-02 confirms today, but in the interim the market has partially corrected. Always require BOTH signals to be active within the same 4-hour window. If IA-03 fires but TRADE-02 has not confirmed within 4 hours, reset the clock. The double signal must be simultaneous, not sequential, to retain its filtering power.</w:t>
      </w:r>
    </w:p>
    <w:p>
      <w:pPr>
        <w:pBdr>
          <w:left w:val="single" w:color="991B1B" w:sz="16"/>
        </w:pBdr>
        <w:shd w:fill="FEE2E2" w:val="clear"/>
        <w:spacing w:after="60" w:before="40"/>
        <w:ind w:left="200"/>
      </w:pPr>
      <w:r>
        <w:t xml:space="preserve"/>
      </w:r>
    </w:p>
    <w:p>
      <w:pPr>
        <w:shd w:fill="6B3400" w:val="clear"/>
        <w:spacing w:after="0" w:before="320"/>
      </w:pPr>
      <w:r>
        <w:rPr>
          <w:rFonts w:ascii="Courier New" w:cs="Courier New" w:eastAsia="Courier New" w:hAnsi="Courier New"/>
          <w:b/>
          <w:bCs/>
          <w:color w:val="FDEBD0"/>
          <w:sz w:val="22"/>
          <w:szCs w:val="22"/>
        </w:rPr>
        <w:t xml:space="preserve">  HYB-04  </w:t>
      </w:r>
      <w:r>
        <w:rPr>
          <w:rFonts w:ascii="Arial" w:cs="Arial" w:eastAsia="Arial" w:hAnsi="Arial"/>
          <w:b/>
          <w:bCs/>
          <w:color w:val="FFFFFF"/>
          <w:sz w:val="28"/>
          <w:szCs w:val="28"/>
        </w:rPr>
        <w:t xml:space="preserve">  Copy-Trading + Fair Value Filter</w:t>
      </w:r>
    </w:p>
    <w:p>
      <w:pPr>
        <w:shd w:fill="FDEBD0" w:val="clear"/>
        <w:spacing w:after="120" w:before="0"/>
      </w:pPr>
      <w:r>
        <w:rPr>
          <w:rFonts w:ascii="Arial" w:cs="Arial" w:eastAsia="Arial" w:hAnsi="Arial"/>
          <w:i/>
          <w:iCs/>
          <w:color w:val="8B4500"/>
          <w:sz w:val="20"/>
          <w:szCs w:val="20"/>
        </w:rPr>
        <w:t xml:space="preserve">  Replicate whale positions — but only those your own model independently validates.</w:t>
      </w:r>
    </w:p>
    <w:p>
      <w:pPr>
        <w:spacing w:after="60" w:before="60"/>
      </w:pPr>
      <w:r>
        <w:rPr>
          <w:rFonts w:ascii="Arial" w:cs="Arial" w:eastAsia="Arial" w:hAnsi="Arial"/>
          <w:color w:val="3B2005"/>
          <w:sz w:val="22"/>
          <w:szCs w:val="22"/>
        </w:rPr>
        <w:t xml:space="preserve">IA-02 (Whale Copy-Trading) is powerful but carries a critical blind spot: a high win rate in a wallet's past does not guarantee the current trade is skillful. The whale may be operating on information the follower cannot evaluate, on a lucky streak that is ending, or on a thesis that your own analysis contradicts. Blindly copying any trade from a high-win-rate wallet is </w:t>
      </w:r>
      <w:r>
        <w:rPr>
          <w:rFonts w:ascii="Arial" w:cs="Arial" w:eastAsia="Arial" w:hAnsi="Arial"/>
          <w:i/>
          <w:iCs/>
          <w:color w:val="6B430A"/>
          <w:sz w:val="22"/>
          <w:szCs w:val="22"/>
        </w:rPr>
        <w:t xml:space="preserve">confidence misplaced in a proxy rather than in the underlying analysis.</w:t>
      </w:r>
    </w:p>
    <w:p>
      <w:pPr>
        <w:spacing w:after="0" w:before="40"/>
      </w:pPr>
      <w:r>
        <w:t xml:space="preserve"/>
      </w:r>
    </w:p>
    <w:p>
      <w:pPr>
        <w:spacing w:after="60" w:before="60"/>
      </w:pPr>
      <w:r>
        <w:rPr>
          <w:rFonts w:ascii="Arial" w:cs="Arial" w:eastAsia="Arial" w:hAnsi="Arial"/>
          <w:color w:val="3B2005"/>
          <w:sz w:val="22"/>
          <w:szCs w:val="22"/>
        </w:rPr>
        <w:t xml:space="preserve">HYB-04 adds IA-03's fair value model as a </w:t>
      </w:r>
      <w:r>
        <w:rPr>
          <w:rFonts w:ascii="Arial" w:cs="Arial" w:eastAsia="Arial" w:hAnsi="Arial"/>
          <w:b/>
          <w:bCs/>
          <w:color w:val="1C1007"/>
          <w:sz w:val="22"/>
          <w:szCs w:val="22"/>
        </w:rPr>
        <w:t xml:space="preserve">mandatory gate</w:t>
      </w:r>
      <w:r>
        <w:rPr>
          <w:rFonts w:ascii="Arial" w:cs="Arial" w:eastAsia="Arial" w:hAnsi="Arial"/>
          <w:color w:val="3B2005"/>
          <w:sz w:val="22"/>
          <w:szCs w:val="22"/>
        </w:rPr>
        <w:t xml:space="preserve"> before any copy-trade executes. The logic: if your independent model also signals that the direction is correct — that the asset is genuinely mispriced in the direction the whale is trading — then you have two independent confirmations from very different information sources. If your model disagrees with the whale, you skip the trade entirely, regardless of how impressive their historical win rate is. This transforms copy-trading from </w:t>
      </w:r>
      <w:r>
        <w:rPr>
          <w:rFonts w:ascii="Arial" w:cs="Arial" w:eastAsia="Arial" w:hAnsi="Arial"/>
          <w:b/>
          <w:bCs/>
          <w:color w:val="1C1007"/>
          <w:sz w:val="22"/>
          <w:szCs w:val="22"/>
        </w:rPr>
        <w:t xml:space="preserve">blind following into validated consensus.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ADA9E" w:sz="1"/>
              <w:left w:val="single" w:color="FADA9E" w:sz="1"/>
              <w:bottom w:val="single" w:color="FADA9E" w:sz="1"/>
              <w:right w:val="single" w:color="FADA9E" w:sz="1"/>
            </w:tcBorders>
            <w:shd w:fill="FDEBD0" w:val="clear"/>
            <w:tcMar>
              <w:top w:type="dxa" w:w="140"/>
              <w:left w:type="dxa" w:w="180"/>
              <w:bottom w:type="dxa" w:w="140"/>
              <w:right w:type="dxa" w:w="180"/>
            </w:tcMar>
          </w:tcPr>
          <w:p>
            <w:pPr>
              <w:spacing w:after="100" w:before="40"/>
            </w:pPr>
            <w:r>
              <w:rPr>
                <w:rFonts w:ascii="Courier New" w:cs="Courier New" w:eastAsia="Courier New" w:hAnsi="Courier New"/>
                <w:b/>
                <w:bCs/>
                <w:color w:val="6B3400"/>
                <w:sz w:val="17"/>
                <w:szCs w:val="17"/>
              </w:rPr>
              <w:t xml:space="preserve">EXECUTION STEPS</w:t>
            </w:r>
          </w:p>
          <w:p>
            <w:pPr>
              <w:spacing w:after="55" w:before="55"/>
            </w:pPr>
            <w:r>
              <w:rPr>
                <w:rFonts w:ascii="Courier New" w:cs="Courier New" w:eastAsia="Courier New" w:hAnsi="Courier New"/>
                <w:b/>
                <w:bCs/>
                <w:color w:val="B85C00"/>
                <w:sz w:val="20"/>
                <w:szCs w:val="20"/>
              </w:rPr>
              <w:t xml:space="preserve">1.  </w:t>
            </w:r>
            <w:r>
              <w:rPr>
                <w:rFonts w:ascii="Arial" w:cs="Arial" w:eastAsia="Arial" w:hAnsi="Arial"/>
                <w:color w:val="3B2005"/>
                <w:sz w:val="21"/>
                <w:szCs w:val="21"/>
              </w:rPr>
              <w:t xml:space="preserve">Maintain your whale watchlist as per IA-02: minimum 70% win rate, 50+ resolved trades, active in last 30 days. Ensure your Polygon node listener is active for all watchlist wallets.</w:t>
            </w:r>
          </w:p>
          <w:p>
            <w:pPr>
              <w:spacing w:after="55" w:before="55"/>
            </w:pPr>
            <w:r>
              <w:rPr>
                <w:rFonts w:ascii="Courier New" w:cs="Courier New" w:eastAsia="Courier New" w:hAnsi="Courier New"/>
                <w:b/>
                <w:bCs/>
                <w:color w:val="B85C00"/>
                <w:sz w:val="20"/>
                <w:szCs w:val="20"/>
              </w:rPr>
              <w:t xml:space="preserve">2.  </w:t>
            </w:r>
            <w:r>
              <w:rPr>
                <w:rFonts w:ascii="Arial" w:cs="Arial" w:eastAsia="Arial" w:hAnsi="Arial"/>
                <w:color w:val="3B2005"/>
                <w:sz w:val="21"/>
                <w:szCs w:val="21"/>
              </w:rPr>
              <w:t xml:space="preserve">When a whale transaction is detected, decode the calldata to extract: market_id, direction (YES/NO), size, and implied price. Do NOT execute yet.</w:t>
            </w:r>
          </w:p>
          <w:p>
            <w:pPr>
              <w:spacing w:after="55" w:before="55"/>
            </w:pPr>
            <w:r>
              <w:rPr>
                <w:rFonts w:ascii="Courier New" w:cs="Courier New" w:eastAsia="Courier New" w:hAnsi="Courier New"/>
                <w:b/>
                <w:bCs/>
                <w:color w:val="B85C00"/>
                <w:sz w:val="20"/>
                <w:szCs w:val="20"/>
              </w:rPr>
              <w:t xml:space="preserve">3.  </w:t>
            </w:r>
            <w:r>
              <w:rPr>
                <w:rFonts w:ascii="Arial" w:cs="Arial" w:eastAsia="Arial" w:hAnsi="Arial"/>
                <w:color w:val="3B2005"/>
                <w:sz w:val="21"/>
                <w:szCs w:val="21"/>
              </w:rPr>
              <w:t xml:space="preserve">Immediately query your IA-03 model for that market_id: what is your fair value estimate? What is the current market price? Is the divergence &gt; 3% in the SAME direction as the whale?</w:t>
            </w:r>
          </w:p>
          <w:p>
            <w:pPr>
              <w:spacing w:after="55" w:before="55"/>
            </w:pPr>
            <w:r>
              <w:rPr>
                <w:rFonts w:ascii="Courier New" w:cs="Courier New" w:eastAsia="Courier New" w:hAnsi="Courier New"/>
                <w:b/>
                <w:bCs/>
                <w:color w:val="B85C00"/>
                <w:sz w:val="20"/>
                <w:szCs w:val="20"/>
              </w:rPr>
              <w:t xml:space="preserve">4.  </w:t>
            </w:r>
            <w:r>
              <w:rPr>
                <w:rFonts w:ascii="Arial" w:cs="Arial" w:eastAsia="Arial" w:hAnsi="Arial"/>
                <w:color w:val="3B2005"/>
                <w:sz w:val="21"/>
                <w:szCs w:val="21"/>
              </w:rPr>
              <w:t xml:space="preserve">Apply the validation gate: if |your_fair_value - market_price| &gt; 3% AND the direction matches the whale's direction -&gt; EXECUTE the copy. Otherwise -&gt; SKIP.</w:t>
            </w:r>
          </w:p>
          <w:p>
            <w:pPr>
              <w:spacing w:after="55" w:before="55"/>
            </w:pPr>
            <w:r>
              <w:rPr>
                <w:rFonts w:ascii="Courier New" w:cs="Courier New" w:eastAsia="Courier New" w:hAnsi="Courier New"/>
                <w:b/>
                <w:bCs/>
                <w:color w:val="B85C00"/>
                <w:sz w:val="20"/>
                <w:szCs w:val="20"/>
              </w:rPr>
              <w:t xml:space="preserve">5.  </w:t>
            </w:r>
            <w:r>
              <w:rPr>
                <w:rFonts w:ascii="Arial" w:cs="Arial" w:eastAsia="Arial" w:hAnsi="Arial"/>
                <w:color w:val="3B2005"/>
                <w:sz w:val="21"/>
                <w:szCs w:val="21"/>
              </w:rPr>
              <w:t xml:space="preserve">Size the copy proportionally: base copy size = 15% of whale position. Increase to 20% if IA-03 divergence &gt; 10%. Decrease to 8% if divergence is 3-5% (weak validation).</w:t>
            </w:r>
          </w:p>
          <w:p>
            <w:pPr>
              <w:spacing w:after="55" w:before="55"/>
            </w:pPr>
            <w:r>
              <w:rPr>
                <w:rFonts w:ascii="Courier New" w:cs="Courier New" w:eastAsia="Courier New" w:hAnsi="Courier New"/>
                <w:b/>
                <w:bCs/>
                <w:color w:val="B85C00"/>
                <w:sz w:val="20"/>
                <w:szCs w:val="20"/>
              </w:rPr>
              <w:t xml:space="preserve">6.  </w:t>
            </w:r>
            <w:r>
              <w:rPr>
                <w:rFonts w:ascii="Arial" w:cs="Arial" w:eastAsia="Arial" w:hAnsi="Arial"/>
                <w:color w:val="3B2005"/>
                <w:sz w:val="21"/>
                <w:szCs w:val="21"/>
              </w:rPr>
              <w:t xml:space="preserve">Track validation rate: log how many whale trades pass the IA-03 gate vs. total whale trades. If fewer than 30% pass the gate, review whether your model's thresholds are calibrated correctly for this market type.</w:t>
            </w:r>
          </w:p>
        </w:tc>
        <w:tc>
          <w:tcPr>
            <w:tcW w:type="dxa" w:w="4680"/>
            <w:tcBorders>
              <w:top w:val="single" w:color="FADA9E" w:sz="1"/>
              <w:left w:val="single" w:color="FADA9E" w:sz="1"/>
              <w:bottom w:val="single" w:color="FADA9E" w:sz="1"/>
              <w:right w:val="single" w:color="FADA9E" w:sz="1"/>
            </w:tcBorders>
            <w:shd w:fill="FEF3E2" w:val="clear"/>
            <w:tcMar>
              <w:top w:type="dxa" w:w="140"/>
              <w:left w:type="dxa" w:w="180"/>
              <w:bottom w:type="dxa" w:w="140"/>
              <w:right w:type="dxa" w:w="180"/>
            </w:tcMar>
          </w:tcPr>
          <w:p>
            <w:pPr>
              <w:spacing w:after="100" w:before="40"/>
            </w:pPr>
            <w:r>
              <w:rPr>
                <w:rFonts w:ascii="Courier New" w:cs="Courier New" w:eastAsia="Courier New" w:hAnsi="Courier New"/>
                <w:b/>
                <w:bCs/>
                <w:color w:val="B85C00"/>
                <w:sz w:val="17"/>
                <w:szCs w:val="17"/>
              </w:rPr>
              <w:t xml:space="preserve">NUMERICAL EXAMPLE</w:t>
            </w:r>
          </w:p>
          <w:p>
            <w:pPr>
              <w:shd w:fill="8B4500" w:val="clear"/>
              <w:spacing w:after="28" w:before="28"/>
            </w:pPr>
            <w:r>
              <w:rPr>
                <w:rFonts w:ascii="Courier New" w:cs="Courier New" w:eastAsia="Courier New" w:hAnsi="Courier New"/>
                <w:b/>
                <w:bCs/>
                <w:color w:val="FDEBD0"/>
                <w:sz w:val="19"/>
                <w:szCs w:val="19"/>
              </w:rPr>
              <w:t xml:space="preserve">  WHALE WALLET 0xAB4f...7E3d</w:t>
            </w:r>
          </w:p>
          <w:p>
            <w:pPr>
              <w:shd w:fill="FFFBF4" w:val="clear"/>
              <w:spacing w:after="28" w:before="28"/>
            </w:pPr>
            <w:r>
              <w:rPr>
                <w:rFonts w:ascii="Courier New" w:cs="Courier New" w:eastAsia="Courier New" w:hAnsi="Courier New"/>
                <w:b w:val="false"/>
                <w:bCs w:val="false"/>
                <w:color w:val="3B2005"/>
                <w:sz w:val="19"/>
                <w:szCs w:val="19"/>
              </w:rPr>
              <w:t xml:space="preserve">  Win rate: 74%  |  Last 90 trades  |  Active today</w:t>
            </w:r>
          </w:p>
          <w:p>
            <w:pPr>
              <w:shd w:fill="FFFBF4" w:val="clear"/>
              <w:spacing w:after="28" w:before="28"/>
            </w:pPr>
            <w:r>
              <w:rPr>
                <w:rFonts w:ascii="Courier New" w:cs="Courier New" w:eastAsia="Courier New" w:hAnsi="Courier New"/>
                <w:b w:val="false"/>
                <w:bCs w:val="false"/>
                <w:color w:val="3B2005"/>
                <w:sz w:val="19"/>
                <w:szCs w:val="19"/>
              </w:rPr>
              <w:t xml:space="preserve">  </w:t>
            </w:r>
          </w:p>
          <w:p>
            <w:pPr>
              <w:shd w:fill="FADA9E" w:val="clear"/>
              <w:spacing w:after="28" w:before="28"/>
            </w:pPr>
            <w:r>
              <w:rPr>
                <w:rFonts w:ascii="Courier New" w:cs="Courier New" w:eastAsia="Courier New" w:hAnsi="Courier New"/>
                <w:b w:val="false"/>
                <w:bCs w:val="false"/>
                <w:color w:val="FADA9E"/>
                <w:sz w:val="19"/>
                <w:szCs w:val="19"/>
              </w:rPr>
              <w:t xml:space="preserve">  WHALE ACTION DETECTED (11:43 AM):</w:t>
            </w:r>
          </w:p>
          <w:p>
            <w:pPr>
              <w:shd w:fill="FFFBF4" w:val="clear"/>
              <w:spacing w:after="28" w:before="28"/>
            </w:pPr>
            <w:r>
              <w:rPr>
                <w:rFonts w:ascii="Courier New" w:cs="Courier New" w:eastAsia="Courier New" w:hAnsi="Courier New"/>
                <w:b w:val="false"/>
                <w:bCs w:val="false"/>
                <w:color w:val="3B2005"/>
                <w:sz w:val="19"/>
                <w:szCs w:val="19"/>
              </w:rPr>
              <w:t xml:space="preserve">  Market: "Will BOE hold rates Dec 2026?"</w:t>
            </w:r>
          </w:p>
          <w:p>
            <w:pPr>
              <w:shd w:fill="FFFBF4" w:val="clear"/>
              <w:spacing w:after="28" w:before="28"/>
            </w:pPr>
            <w:r>
              <w:rPr>
                <w:rFonts w:ascii="Courier New" w:cs="Courier New" w:eastAsia="Courier New" w:hAnsi="Courier New"/>
                <w:b w:val="false"/>
                <w:bCs w:val="false"/>
                <w:color w:val="3B2005"/>
                <w:sz w:val="19"/>
                <w:szCs w:val="19"/>
              </w:rPr>
              <w:t xml:space="preserve">  Action: Buy 6,500 YES @ $0.34</w:t>
            </w:r>
          </w:p>
          <w:p>
            <w:pPr>
              <w:shd w:fill="FFFBF4" w:val="clear"/>
              <w:spacing w:after="28" w:before="28"/>
            </w:pPr>
            <w:r>
              <w:rPr>
                <w:rFonts w:ascii="Courier New" w:cs="Courier New" w:eastAsia="Courier New" w:hAnsi="Courier New"/>
                <w:b w:val="false"/>
                <w:bCs w:val="false"/>
                <w:color w:val="3B2005"/>
                <w:sz w:val="19"/>
                <w:szCs w:val="19"/>
              </w:rPr>
              <w:t xml:space="preserve">  Whale capital: $2,210</w:t>
            </w:r>
          </w:p>
          <w:p>
            <w:pPr>
              <w:shd w:fill="FFFBF4" w:val="clear"/>
              <w:spacing w:after="28" w:before="28"/>
            </w:pPr>
            <w:r>
              <w:rPr>
                <w:rFonts w:ascii="Courier New" w:cs="Courier New" w:eastAsia="Courier New" w:hAnsi="Courier New"/>
                <w:b w:val="false"/>
                <w:bCs w:val="false"/>
                <w:color w:val="3B2005"/>
                <w:sz w:val="19"/>
                <w:szCs w:val="19"/>
              </w:rPr>
              <w:t xml:space="preserve">  </w:t>
            </w:r>
          </w:p>
          <w:p>
            <w:pPr>
              <w:shd w:fill="FADA9E" w:val="clear"/>
              <w:spacing w:after="28" w:before="28"/>
            </w:pPr>
            <w:r>
              <w:rPr>
                <w:rFonts w:ascii="Courier New" w:cs="Courier New" w:eastAsia="Courier New" w:hAnsi="Courier New"/>
                <w:b w:val="false"/>
                <w:bCs w:val="false"/>
                <w:color w:val="FADA9E"/>
                <w:sz w:val="19"/>
                <w:szCs w:val="19"/>
              </w:rPr>
              <w:t xml:space="preserve">  --- IA-03 GATE CHECK ---</w:t>
            </w:r>
          </w:p>
          <w:p>
            <w:pPr>
              <w:shd w:fill="FFFBF4" w:val="clear"/>
              <w:spacing w:after="28" w:before="28"/>
            </w:pPr>
            <w:r>
              <w:rPr>
                <w:rFonts w:ascii="Courier New" w:cs="Courier New" w:eastAsia="Courier New" w:hAnsi="Courier New"/>
                <w:b w:val="false"/>
                <w:bCs w:val="false"/>
                <w:color w:val="3B2005"/>
                <w:sz w:val="19"/>
                <w:szCs w:val="19"/>
              </w:rPr>
              <w:t xml:space="preserve">  Your model fair value: YES = $0.49</w:t>
            </w:r>
          </w:p>
          <w:p>
            <w:pPr>
              <w:shd w:fill="FFFBF4" w:val="clear"/>
              <w:spacing w:after="28" w:before="28"/>
            </w:pPr>
            <w:r>
              <w:rPr>
                <w:rFonts w:ascii="Courier New" w:cs="Courier New" w:eastAsia="Courier New" w:hAnsi="Courier New"/>
                <w:b w:val="false"/>
                <w:bCs w:val="false"/>
                <w:color w:val="3B2005"/>
                <w:sz w:val="19"/>
                <w:szCs w:val="19"/>
              </w:rPr>
              <w:t xml:space="preserve">  Current market price:  YES = $0.34</w:t>
            </w:r>
          </w:p>
          <w:p>
            <w:pPr>
              <w:shd w:fill="D1FAE5" w:val="clear"/>
              <w:spacing w:after="28" w:before="28"/>
            </w:pPr>
            <w:r>
              <w:rPr>
                <w:rFonts w:ascii="Courier New" w:cs="Courier New" w:eastAsia="Courier New" w:hAnsi="Courier New"/>
                <w:b/>
                <w:bCs/>
                <w:color w:val="065F46"/>
                <w:sz w:val="19"/>
                <w:szCs w:val="19"/>
              </w:rPr>
              <w:t xml:space="preserve">  Divergence: +15 ppts (direction: BUY YES)</w:t>
            </w:r>
          </w:p>
          <w:p>
            <w:pPr>
              <w:shd w:fill="D1FAE5" w:val="clear"/>
              <w:spacing w:after="28" w:before="28"/>
            </w:pPr>
            <w:r>
              <w:rPr>
                <w:rFonts w:ascii="Courier New" w:cs="Courier New" w:eastAsia="Courier New" w:hAnsi="Courier New"/>
                <w:b/>
                <w:bCs/>
                <w:color w:val="065F46"/>
                <w:sz w:val="19"/>
                <w:szCs w:val="19"/>
              </w:rPr>
              <w:t xml:space="preserve">  Gate threshold: &gt;3%  [PASSED]</w:t>
            </w:r>
          </w:p>
          <w:p>
            <w:pPr>
              <w:shd w:fill="FFFBF4" w:val="clear"/>
              <w:spacing w:after="28" w:before="28"/>
            </w:pPr>
            <w:r>
              <w:rPr>
                <w:rFonts w:ascii="Courier New" w:cs="Courier New" w:eastAsia="Courier New" w:hAnsi="Courier New"/>
                <w:b w:val="false"/>
                <w:bCs w:val="false"/>
                <w:color w:val="3B2005"/>
                <w:sz w:val="19"/>
                <w:szCs w:val="19"/>
              </w:rPr>
              <w:t xml:space="preserve">  </w:t>
            </w:r>
          </w:p>
          <w:p>
            <w:pPr>
              <w:shd w:fill="CCFBF1" w:val="clear"/>
              <w:spacing w:after="28" w:before="28"/>
            </w:pPr>
            <w:r>
              <w:rPr>
                <w:rFonts w:ascii="Courier New" w:cs="Courier New" w:eastAsia="Courier New" w:hAnsi="Courier New"/>
                <w:b/>
                <w:bCs/>
                <w:color w:val="0F766E"/>
                <w:sz w:val="19"/>
                <w:szCs w:val="19"/>
              </w:rPr>
              <w:t xml:space="preserve">  VALIDATION: BOTH AGREE -&gt; EXECUTE COPY</w:t>
            </w:r>
          </w:p>
          <w:p>
            <w:pPr>
              <w:shd w:fill="FFFBF4" w:val="clear"/>
              <w:spacing w:after="28" w:before="28"/>
            </w:pPr>
            <w:r>
              <w:rPr>
                <w:rFonts w:ascii="Courier New" w:cs="Courier New" w:eastAsia="Courier New" w:hAnsi="Courier New"/>
                <w:b w:val="false"/>
                <w:bCs w:val="false"/>
                <w:color w:val="3B2005"/>
                <w:sz w:val="19"/>
                <w:szCs w:val="19"/>
              </w:rPr>
              <w:t xml:space="preserve">  </w:t>
            </w:r>
          </w:p>
          <w:p>
            <w:pPr>
              <w:shd w:fill="FADA9E" w:val="clear"/>
              <w:spacing w:after="28" w:before="28"/>
            </w:pPr>
            <w:r>
              <w:rPr>
                <w:rFonts w:ascii="Courier New" w:cs="Courier New" w:eastAsia="Courier New" w:hAnsi="Courier New"/>
                <w:b w:val="false"/>
                <w:bCs w:val="false"/>
                <w:color w:val="FADA9E"/>
                <w:sz w:val="19"/>
                <w:szCs w:val="19"/>
              </w:rPr>
              <w:t xml:space="preserve">  --- COPY EXECUTION (11:43:38 AM) ---</w:t>
            </w:r>
          </w:p>
          <w:p>
            <w:pPr>
              <w:shd w:fill="FFFBF4" w:val="clear"/>
              <w:spacing w:after="28" w:before="28"/>
            </w:pPr>
            <w:r>
              <w:rPr>
                <w:rFonts w:ascii="Courier New" w:cs="Courier New" w:eastAsia="Courier New" w:hAnsi="Courier New"/>
                <w:b w:val="false"/>
                <w:bCs w:val="false"/>
                <w:color w:val="3B2005"/>
                <w:sz w:val="19"/>
                <w:szCs w:val="19"/>
              </w:rPr>
              <w:t xml:space="preserve">  Copy ratio: 20% (high IA-03 divergence)</w:t>
            </w:r>
          </w:p>
          <w:p>
            <w:pPr>
              <w:shd w:fill="FFFBF4" w:val="clear"/>
              <w:spacing w:after="28" w:before="28"/>
            </w:pPr>
            <w:r>
              <w:rPr>
                <w:rFonts w:ascii="Courier New" w:cs="Courier New" w:eastAsia="Courier New" w:hAnsi="Courier New"/>
                <w:b w:val="false"/>
                <w:bCs w:val="false"/>
                <w:color w:val="3B2005"/>
                <w:sz w:val="19"/>
                <w:szCs w:val="19"/>
              </w:rPr>
              <w:t xml:space="preserve">  Buy 1,300 YES @ $0.345 = $448.50</w:t>
            </w:r>
          </w:p>
          <w:p>
            <w:pPr>
              <w:shd w:fill="FEF3E2" w:val="clear"/>
              <w:spacing w:after="28" w:before="28"/>
            </w:pPr>
            <w:r>
              <w:rPr>
                <w:rFonts w:ascii="Courier New" w:cs="Courier New" w:eastAsia="Courier New" w:hAnsi="Courier New"/>
                <w:b w:val="false"/>
                <w:bCs w:val="false"/>
                <w:color w:val="6B430A"/>
                <w:sz w:val="19"/>
                <w:szCs w:val="19"/>
              </w:rPr>
              <w:t xml:space="preserve">      (slight slippage vs whale entry)</w:t>
            </w:r>
          </w:p>
          <w:p>
            <w:pPr>
              <w:shd w:fill="FFFBF4" w:val="clear"/>
              <w:spacing w:after="28" w:before="28"/>
            </w:pPr>
            <w:r>
              <w:rPr>
                <w:rFonts w:ascii="Courier New" w:cs="Courier New" w:eastAsia="Courier New" w:hAnsi="Courier New"/>
                <w:b w:val="false"/>
                <w:bCs w:val="false"/>
                <w:color w:val="3B2005"/>
                <w:sz w:val="19"/>
                <w:szCs w:val="19"/>
              </w:rPr>
              <w:t xml:space="preserve">  </w:t>
            </w:r>
          </w:p>
          <w:p>
            <w:pPr>
              <w:shd w:fill="FADA9E" w:val="clear"/>
              <w:spacing w:after="28" w:before="28"/>
            </w:pPr>
            <w:r>
              <w:rPr>
                <w:rFonts w:ascii="Courier New" w:cs="Courier New" w:eastAsia="Courier New" w:hAnsi="Courier New"/>
                <w:b w:val="false"/>
                <w:bCs w:val="false"/>
                <w:color w:val="FADA9E"/>
                <w:sz w:val="19"/>
                <w:szCs w:val="19"/>
              </w:rPr>
              <w:t xml:space="preserve">  --- 11 DAYS LATER: BOE holds ---</w:t>
            </w:r>
          </w:p>
          <w:p>
            <w:pPr>
              <w:shd w:fill="FFFBF4" w:val="clear"/>
              <w:spacing w:after="28" w:before="28"/>
            </w:pPr>
            <w:r>
              <w:rPr>
                <w:rFonts w:ascii="Courier New" w:cs="Courier New" w:eastAsia="Courier New" w:hAnsi="Courier New"/>
                <w:b w:val="false"/>
                <w:bCs w:val="false"/>
                <w:color w:val="3B2005"/>
                <w:sz w:val="19"/>
                <w:szCs w:val="19"/>
              </w:rPr>
              <w:t xml:space="preserve">  Market resolves YES -&gt; payout $1.00</w:t>
            </w:r>
          </w:p>
          <w:p>
            <w:pPr>
              <w:shd w:fill="FFFBF4" w:val="clear"/>
              <w:spacing w:after="28" w:before="28"/>
            </w:pPr>
            <w:r>
              <w:rPr>
                <w:rFonts w:ascii="Courier New" w:cs="Courier New" w:eastAsia="Courier New" w:hAnsi="Courier New"/>
                <w:b w:val="false"/>
                <w:bCs w:val="false"/>
                <w:color w:val="3B2005"/>
                <w:sz w:val="19"/>
                <w:szCs w:val="19"/>
              </w:rPr>
              <w:t xml:space="preserve">  Proceeds: 1,300 x $1.00 = $1,300.00</w:t>
            </w:r>
          </w:p>
          <w:p>
            <w:pPr>
              <w:shd w:fill="FFFBF4" w:val="clear"/>
              <w:spacing w:after="28" w:before="28"/>
            </w:pPr>
            <w:r>
              <w:rPr>
                <w:rFonts w:ascii="Courier New" w:cs="Courier New" w:eastAsia="Courier New" w:hAnsi="Courier New"/>
                <w:b w:val="false"/>
                <w:bCs w:val="false"/>
                <w:color w:val="3B2005"/>
                <w:sz w:val="19"/>
                <w:szCs w:val="19"/>
              </w:rPr>
              <w:t xml:space="preserve">  </w:t>
            </w:r>
          </w:p>
          <w:p>
            <w:pPr>
              <w:shd w:fill="D1FAE5" w:val="clear"/>
              <w:spacing w:after="28" w:before="28"/>
            </w:pPr>
            <w:r>
              <w:rPr>
                <w:rFonts w:ascii="Courier New" w:cs="Courier New" w:eastAsia="Courier New" w:hAnsi="Courier New"/>
                <w:b/>
                <w:bCs/>
                <w:color w:val="065F46"/>
                <w:sz w:val="19"/>
                <w:szCs w:val="19"/>
              </w:rPr>
              <w:t xml:space="preserve">  PROFIT: $1,300 - $448.50 = +$851.50</w:t>
            </w:r>
          </w:p>
          <w:p>
            <w:pPr>
              <w:shd w:fill="D1FAE5" w:val="clear"/>
              <w:spacing w:after="28" w:before="28"/>
            </w:pPr>
            <w:r>
              <w:rPr>
                <w:rFonts w:ascii="Courier New" w:cs="Courier New" w:eastAsia="Courier New" w:hAnsi="Courier New"/>
                <w:b/>
                <w:bCs/>
                <w:color w:val="065F46"/>
                <w:sz w:val="19"/>
                <w:szCs w:val="19"/>
              </w:rPr>
              <w:t xml:space="preserve">  ROI: +189.9%  |  11-day hold</w:t>
            </w:r>
          </w:p>
          <w:p>
            <w:pPr>
              <w:shd w:fill="FFFBF4" w:val="clear"/>
              <w:spacing w:after="28" w:before="28"/>
            </w:pPr>
            <w:r>
              <w:rPr>
                <w:rFonts w:ascii="Courier New" w:cs="Courier New" w:eastAsia="Courier New" w:hAnsi="Courier New"/>
                <w:b w:val="false"/>
                <w:bCs w:val="false"/>
                <w:color w:val="3B2005"/>
                <w:sz w:val="19"/>
                <w:szCs w:val="19"/>
              </w:rPr>
              <w:t xml:space="preserve">  </w:t>
            </w:r>
          </w:p>
          <w:p>
            <w:pPr>
              <w:shd w:fill="FEF9C3" w:val="clear"/>
              <w:spacing w:after="28" w:before="28"/>
            </w:pPr>
            <w:r>
              <w:rPr>
                <w:rFonts w:ascii="Courier New" w:cs="Courier New" w:eastAsia="Courier New" w:hAnsi="Courier New"/>
                <w:b w:val="false"/>
                <w:bCs w:val="false"/>
                <w:color w:val="854D0E"/>
                <w:sz w:val="19"/>
                <w:szCs w:val="19"/>
              </w:rPr>
              <w:t xml:space="preserve">  IF gate had not filtered:</w:t>
            </w:r>
          </w:p>
          <w:p>
            <w:pPr>
              <w:shd w:fill="FEF9C3" w:val="clear"/>
              <w:spacing w:after="28" w:before="28"/>
            </w:pPr>
            <w:r>
              <w:rPr>
                <w:rFonts w:ascii="Courier New" w:cs="Courier New" w:eastAsia="Courier New" w:hAnsi="Courier New"/>
                <w:b w:val="false"/>
                <w:bCs w:val="false"/>
                <w:color w:val="854D0E"/>
                <w:sz w:val="19"/>
                <w:szCs w:val="19"/>
              </w:rPr>
              <w:t xml:space="preserve">    20% of whale trades would be skipped</w:t>
            </w:r>
          </w:p>
          <w:p>
            <w:pPr>
              <w:shd w:fill="CCFBF1" w:val="clear"/>
              <w:spacing w:after="28" w:before="28"/>
            </w:pPr>
            <w:r>
              <w:rPr>
                <w:rFonts w:ascii="Courier New" w:cs="Courier New" w:eastAsia="Courier New" w:hAnsi="Courier New"/>
                <w:b/>
                <w:bCs/>
                <w:color w:val="0F766E"/>
                <w:sz w:val="19"/>
                <w:szCs w:val="19"/>
              </w:rPr>
              <w:t xml:space="preserve">    Win rate improves from 74% to ~82%</w:t>
            </w:r>
          </w:p>
        </w:tc>
      </w:tr>
    </w:tbl>
    <w:p>
      <w:pPr>
        <w:spacing w:after="0" w:before="40"/>
      </w:pPr>
      <w:r>
        <w:t xml:space="preserve"/>
      </w:r>
    </w:p>
    <w:p>
      <w:pPr>
        <w:pBdr>
          <w:left w:val="single" w:color="854D0E" w:sz="16"/>
        </w:pBdr>
        <w:shd w:fill="FEF9C3" w:val="clear"/>
        <w:spacing w:after="50" w:before="80"/>
        <w:ind w:left="200"/>
      </w:pPr>
      <w:r>
        <w:rPr>
          <w:rFonts w:ascii="Courier New" w:cs="Courier New" w:eastAsia="Courier New" w:hAnsi="Courier New"/>
          <w:b/>
          <w:bCs/>
          <w:color w:val="854D0E"/>
          <w:sz w:val="16"/>
          <w:szCs w:val="16"/>
        </w:rPr>
        <w:t xml:space="preserve">MODEL THRESHOLD CALIBRATION FOR HYB-04</w:t>
      </w:r>
    </w:p>
    <w:p>
      <w:pPr>
        <w:pBdr>
          <w:left w:val="single" w:color="854D0E" w:sz="16"/>
        </w:pBdr>
        <w:shd w:fill="FEF9C3" w:val="clear"/>
        <w:spacing w:after="40" w:before="40"/>
        <w:ind w:left="200"/>
      </w:pPr>
      <w:r>
        <w:rPr>
          <w:rFonts w:ascii="Arial" w:cs="Arial" w:eastAsia="Arial" w:hAnsi="Arial"/>
          <w:color w:val="3B2005"/>
          <w:sz w:val="21"/>
          <w:szCs w:val="21"/>
        </w:rPr>
        <w:t xml:space="preserve">The gate threshold (3% divergence minimum) must be calibrated to your model's accuracy in the specific market category. A 3% threshold is appropriate if your model has a Brier Score &lt; 0.15. If your model is less accurate (Brier Score 0.15–0.22), raise the threshold to 6–8% to avoid false validations. Never lower the threshold below 2% — at that level, the "validation" is capturing noise, not signal, and provides no real filtering benefit over pure copy-trading.</w:t>
      </w:r>
    </w:p>
    <w:p>
      <w:pPr>
        <w:pBdr>
          <w:left w:val="single" w:color="854D0E" w:sz="16"/>
        </w:pBdr>
        <w:shd w:fill="FEF9C3" w:val="clear"/>
        <w:spacing w:after="60" w:before="40"/>
        <w:ind w:left="200"/>
      </w:pPr>
      <w:r>
        <w:t xml:space="preserve"/>
      </w:r>
    </w:p>
    <w:p>
      <w:pPr>
        <w:shd w:fill="5C2D00" w:val="clear"/>
        <w:spacing w:after="0" w:before="320"/>
      </w:pPr>
      <w:r>
        <w:rPr>
          <w:rFonts w:ascii="Courier New" w:cs="Courier New" w:eastAsia="Courier New" w:hAnsi="Courier New"/>
          <w:b/>
          <w:bCs/>
          <w:color w:val="FDEBD0"/>
          <w:sz w:val="22"/>
          <w:szCs w:val="22"/>
        </w:rPr>
        <w:t xml:space="preserve">  HYB-05  </w:t>
      </w:r>
      <w:r>
        <w:rPr>
          <w:rFonts w:ascii="Arial" w:cs="Arial" w:eastAsia="Arial" w:hAnsi="Arial"/>
          <w:b/>
          <w:bCs/>
          <w:color w:val="FFFFFF"/>
          <w:sz w:val="28"/>
          <w:szCs w:val="28"/>
        </w:rPr>
        <w:t xml:space="preserve">  Dynamic Compounding with Market Rotation</w:t>
      </w:r>
    </w:p>
    <w:p>
      <w:pPr>
        <w:shd w:fill="FDEBD0" w:val="clear"/>
        <w:spacing w:after="120" w:before="0"/>
      </w:pPr>
      <w:r>
        <w:rPr>
          <w:rFonts w:ascii="Arial" w:cs="Arial" w:eastAsia="Arial" w:hAnsi="Arial"/>
          <w:i/>
          <w:iCs/>
          <w:color w:val="8B4500"/>
          <w:sz w:val="20"/>
          <w:szCs w:val="20"/>
        </w:rPr>
        <w:t xml:space="preserve">  MINT-06 systematic reinvestment + IA-04 real-time market scoring — always mint in the optimal market.</w:t>
      </w:r>
    </w:p>
    <w:p>
      <w:pPr>
        <w:spacing w:after="60" w:before="60"/>
      </w:pPr>
      <w:r>
        <w:rPr>
          <w:rFonts w:ascii="Arial" w:cs="Arial" w:eastAsia="Arial" w:hAnsi="Arial"/>
          <w:color w:val="3B2005"/>
          <w:sz w:val="22"/>
          <w:szCs w:val="22"/>
        </w:rPr>
        <w:t xml:space="preserve">MINT-06 (Accelerated Multi-Cycle Compounding) is the most powerful yield engine in the catalog — 7.8x capital multiplication in 12 months under ideal conditions. Its single vulnerability: it assumes the same market remains optimal across all 30 monthly cycles. In reality, market conditions change daily. The spread available in Market A today may be 40% narrower tomorrow. IA-04's real-time detection framework solves this exactly.</w:t>
      </w:r>
    </w:p>
    <w:p>
      <w:pPr>
        <w:spacing w:after="0" w:before="40"/>
      </w:pPr>
      <w:r>
        <w:t xml:space="preserve"/>
      </w:r>
    </w:p>
    <w:p>
      <w:pPr>
        <w:spacing w:after="60" w:before="60"/>
      </w:pPr>
      <w:r>
        <w:rPr>
          <w:rFonts w:ascii="Arial" w:cs="Arial" w:eastAsia="Arial" w:hAnsi="Arial"/>
          <w:color w:val="3B2005"/>
          <w:sz w:val="22"/>
          <w:szCs w:val="22"/>
        </w:rPr>
        <w:t xml:space="preserve">HYB-05 combines MINT-06's reinvestment discipline with IA-04's continuous market scoring to </w:t>
      </w:r>
      <w:r>
        <w:rPr>
          <w:rFonts w:ascii="Arial" w:cs="Arial" w:eastAsia="Arial" w:hAnsi="Arial"/>
          <w:b/>
          <w:bCs/>
          <w:color w:val="1C1007"/>
          <w:sz w:val="22"/>
          <w:szCs w:val="22"/>
        </w:rPr>
        <w:t xml:space="preserve">dynamically select the optimal market for each cycle</w:t>
      </w:r>
      <w:r>
        <w:rPr>
          <w:rFonts w:ascii="Arial" w:cs="Arial" w:eastAsia="Arial" w:hAnsi="Arial"/>
          <w:color w:val="3B2005"/>
          <w:sz w:val="22"/>
          <w:szCs w:val="22"/>
        </w:rPr>
        <w:t xml:space="preserve"> from the 24 monitored markets. Every 24 hours, the system scores all available markets on four dimensions: spread available, liquidity depth, Proximity Factor achievable, and urgency (time to resolution). Capital is deployed in the highest-scoring market for that cycle. The result: </w:t>
      </w:r>
      <w:r>
        <w:rPr>
          <w:rFonts w:ascii="Arial" w:cs="Arial" w:eastAsia="Arial" w:hAnsi="Arial"/>
          <w:b/>
          <w:bCs/>
          <w:color w:val="1C1007"/>
          <w:sz w:val="22"/>
          <w:szCs w:val="22"/>
        </w:rPr>
        <w:t xml:space="preserve">+20–40% ROI improvement per cycle</w:t>
      </w:r>
      <w:r>
        <w:rPr>
          <w:rFonts w:ascii="Arial" w:cs="Arial" w:eastAsia="Arial" w:hAnsi="Arial"/>
          <w:color w:val="3B2005"/>
          <w:sz w:val="22"/>
          <w:szCs w:val="22"/>
        </w:rPr>
        <w:t xml:space="preserve"> compared to repeatedly minting in the same fixed market — which translates to a dramatically higher 12-month capital multiplier.</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ADA9E" w:sz="1"/>
              <w:left w:val="single" w:color="FADA9E" w:sz="1"/>
              <w:bottom w:val="single" w:color="FADA9E" w:sz="1"/>
              <w:right w:val="single" w:color="FADA9E" w:sz="1"/>
            </w:tcBorders>
            <w:shd w:fill="FDEBD0" w:val="clear"/>
            <w:tcMar>
              <w:top w:type="dxa" w:w="140"/>
              <w:left w:type="dxa" w:w="180"/>
              <w:bottom w:type="dxa" w:w="140"/>
              <w:right w:type="dxa" w:w="180"/>
            </w:tcMar>
          </w:tcPr>
          <w:p>
            <w:pPr>
              <w:spacing w:after="100" w:before="40"/>
            </w:pPr>
            <w:r>
              <w:rPr>
                <w:rFonts w:ascii="Courier New" w:cs="Courier New" w:eastAsia="Courier New" w:hAnsi="Courier New"/>
                <w:b/>
                <w:bCs/>
                <w:color w:val="5C2D00"/>
                <w:sz w:val="17"/>
                <w:szCs w:val="17"/>
              </w:rPr>
              <w:t xml:space="preserve">EXECUTION STEPS</w:t>
            </w:r>
          </w:p>
          <w:p>
            <w:pPr>
              <w:spacing w:after="55" w:before="55"/>
            </w:pPr>
            <w:r>
              <w:rPr>
                <w:rFonts w:ascii="Courier New" w:cs="Courier New" w:eastAsia="Courier New" w:hAnsi="Courier New"/>
                <w:b/>
                <w:bCs/>
                <w:color w:val="B85C00"/>
                <w:sz w:val="20"/>
                <w:szCs w:val="20"/>
              </w:rPr>
              <w:t xml:space="preserve">1.  </w:t>
            </w:r>
            <w:r>
              <w:rPr>
                <w:rFonts w:ascii="Arial" w:cs="Arial" w:eastAsia="Arial" w:hAnsi="Arial"/>
                <w:color w:val="3B2005"/>
                <w:sz w:val="21"/>
                <w:szCs w:val="21"/>
              </w:rPr>
              <w:t xml:space="preserve">Set up the IA-04 market monitoring infrastructure for 24 active Polymarket markets. Subscribe to real-time price feeds via WebSocket for all 24.</w:t>
            </w:r>
          </w:p>
          <w:p>
            <w:pPr>
              <w:spacing w:after="55" w:before="55"/>
            </w:pPr>
            <w:r>
              <w:rPr>
                <w:rFonts w:ascii="Courier New" w:cs="Courier New" w:eastAsia="Courier New" w:hAnsi="Courier New"/>
                <w:b/>
                <w:bCs/>
                <w:color w:val="B85C00"/>
                <w:sz w:val="20"/>
                <w:szCs w:val="20"/>
              </w:rPr>
              <w:t xml:space="preserve">2.  </w:t>
            </w:r>
            <w:r>
              <w:rPr>
                <w:rFonts w:ascii="Arial" w:cs="Arial" w:eastAsia="Arial" w:hAnsi="Arial"/>
                <w:color w:val="3B2005"/>
                <w:sz w:val="21"/>
                <w:szCs w:val="21"/>
              </w:rPr>
              <w:t xml:space="preserve">At the start of each cycle (every 24h), run the market scoring function: Score = (spread_available x 0.40) + (liquidity_score x 0.25) + (proximity_factor x 0.20) + (urgency_discount x 0.15). Weights can be tuned based on your capital size.</w:t>
            </w:r>
          </w:p>
          <w:p>
            <w:pPr>
              <w:spacing w:after="55" w:before="55"/>
            </w:pPr>
            <w:r>
              <w:rPr>
                <w:rFonts w:ascii="Courier New" w:cs="Courier New" w:eastAsia="Courier New" w:hAnsi="Courier New"/>
                <w:b/>
                <w:bCs/>
                <w:color w:val="B85C00"/>
                <w:sz w:val="20"/>
                <w:szCs w:val="20"/>
              </w:rPr>
              <w:t xml:space="preserve">3.  </w:t>
            </w:r>
            <w:r>
              <w:rPr>
                <w:rFonts w:ascii="Arial" w:cs="Arial" w:eastAsia="Arial" w:hAnsi="Arial"/>
                <w:color w:val="3B2005"/>
                <w:sz w:val="21"/>
                <w:szCs w:val="21"/>
              </w:rPr>
              <w:t xml:space="preserve">Rank all 24 markets by score. Select the top-ranked market for the current cycle. Verify minimum thresholds: spread must be positive after fees, liquidity must support your full position without significant slippage.</w:t>
            </w:r>
          </w:p>
          <w:p>
            <w:pPr>
              <w:spacing w:after="55" w:before="55"/>
            </w:pPr>
            <w:r>
              <w:rPr>
                <w:rFonts w:ascii="Courier New" w:cs="Courier New" w:eastAsia="Courier New" w:hAnsi="Courier New"/>
                <w:b/>
                <w:bCs/>
                <w:color w:val="B85C00"/>
                <w:sz w:val="20"/>
                <w:szCs w:val="20"/>
              </w:rPr>
              <w:t xml:space="preserve">4.  </w:t>
            </w:r>
            <w:r>
              <w:rPr>
                <w:rFonts w:ascii="Arial" w:cs="Arial" w:eastAsia="Arial" w:hAnsi="Arial"/>
                <w:color w:val="3B2005"/>
                <w:sz w:val="21"/>
                <w:szCs w:val="21"/>
              </w:rPr>
              <w:t xml:space="preserve">Execute the MINT-06 cycle in the selected market: mint capital + prior cycle gains, place sweet-spot sell orders (HYB-01 positioning logic applies here), wait for execution.</w:t>
            </w:r>
          </w:p>
          <w:p>
            <w:pPr>
              <w:spacing w:after="55" w:before="55"/>
            </w:pPr>
            <w:r>
              <w:rPr>
                <w:rFonts w:ascii="Courier New" w:cs="Courier New" w:eastAsia="Courier New" w:hAnsi="Courier New"/>
                <w:b/>
                <w:bCs/>
                <w:color w:val="B85C00"/>
                <w:sz w:val="20"/>
                <w:szCs w:val="20"/>
              </w:rPr>
              <w:t xml:space="preserve">5.  </w:t>
            </w:r>
            <w:r>
              <w:rPr>
                <w:rFonts w:ascii="Arial" w:cs="Arial" w:eastAsia="Arial" w:hAnsi="Arial"/>
                <w:color w:val="3B2005"/>
                <w:sz w:val="21"/>
                <w:szCs w:val="21"/>
              </w:rPr>
              <w:t xml:space="preserve">Upon cycle completion, immediately reinvest total proceeds (capital + profit) into the next highest-scoring market for the following cycle. Reinvestment must occur within 2 hours to maintain the compounding cadence.</w:t>
            </w:r>
          </w:p>
          <w:p>
            <w:pPr>
              <w:spacing w:after="55" w:before="55"/>
            </w:pPr>
            <w:r>
              <w:rPr>
                <w:rFonts w:ascii="Courier New" w:cs="Courier New" w:eastAsia="Courier New" w:hAnsi="Courier New"/>
                <w:b/>
                <w:bCs/>
                <w:color w:val="B85C00"/>
                <w:sz w:val="20"/>
                <w:szCs w:val="20"/>
              </w:rPr>
              <w:t xml:space="preserve">6.  </w:t>
            </w:r>
            <w:r>
              <w:rPr>
                <w:rFonts w:ascii="Arial" w:cs="Arial" w:eastAsia="Arial" w:hAnsi="Arial"/>
                <w:color w:val="3B2005"/>
                <w:sz w:val="21"/>
                <w:szCs w:val="21"/>
              </w:rPr>
              <w:t xml:space="preserve">Generate a weekly rotation report: which markets were selected, what score they achieved, and what ROI was actually realized. Use this data to calibrate the scoring weights for your specific market portfolio.</w:t>
            </w:r>
          </w:p>
        </w:tc>
        <w:tc>
          <w:tcPr>
            <w:tcW w:type="dxa" w:w="4680"/>
            <w:tcBorders>
              <w:top w:val="single" w:color="FADA9E" w:sz="1"/>
              <w:left w:val="single" w:color="FADA9E" w:sz="1"/>
              <w:bottom w:val="single" w:color="FADA9E" w:sz="1"/>
              <w:right w:val="single" w:color="FADA9E" w:sz="1"/>
            </w:tcBorders>
            <w:shd w:fill="FEF3E2" w:val="clear"/>
            <w:tcMar>
              <w:top w:type="dxa" w:w="140"/>
              <w:left w:type="dxa" w:w="180"/>
              <w:bottom w:type="dxa" w:w="140"/>
              <w:right w:type="dxa" w:w="180"/>
            </w:tcMar>
          </w:tcPr>
          <w:p>
            <w:pPr>
              <w:spacing w:after="100" w:before="40"/>
            </w:pPr>
            <w:r>
              <w:rPr>
                <w:rFonts w:ascii="Courier New" w:cs="Courier New" w:eastAsia="Courier New" w:hAnsi="Courier New"/>
                <w:b/>
                <w:bCs/>
                <w:color w:val="B85C00"/>
                <w:sz w:val="17"/>
                <w:szCs w:val="17"/>
              </w:rPr>
              <w:t xml:space="preserve">NUMERICAL EXAMPLE — 5 CYCLE COMPARISON</w:t>
            </w:r>
          </w:p>
          <w:p>
            <w:pPr>
              <w:shd w:fill="8B4500" w:val="clear"/>
              <w:spacing w:after="28" w:before="28"/>
            </w:pPr>
            <w:r>
              <w:rPr>
                <w:rFonts w:ascii="Courier New" w:cs="Courier New" w:eastAsia="Courier New" w:hAnsi="Courier New"/>
                <w:b/>
                <w:bCs/>
                <w:color w:val="FDEBD0"/>
                <w:sz w:val="19"/>
                <w:szCs w:val="19"/>
              </w:rPr>
              <w:t xml:space="preserve">  Starting capital: $1,000  |  24 markets monitored</w:t>
            </w:r>
          </w:p>
          <w:p>
            <w:pPr>
              <w:shd w:fill="FFFBF4" w:val="clear"/>
              <w:spacing w:after="28" w:before="28"/>
            </w:pPr>
            <w:r>
              <w:rPr>
                <w:rFonts w:ascii="Courier New" w:cs="Courier New" w:eastAsia="Courier New" w:hAnsi="Courier New"/>
                <w:b w:val="false"/>
                <w:bCs w:val="false"/>
                <w:color w:val="3B2005"/>
                <w:sz w:val="19"/>
                <w:szCs w:val="19"/>
              </w:rPr>
              <w:t xml:space="preserve">  </w:t>
            </w:r>
          </w:p>
          <w:p>
            <w:pPr>
              <w:shd w:fill="FADA9E" w:val="clear"/>
              <w:spacing w:after="28" w:before="28"/>
            </w:pPr>
            <w:r>
              <w:rPr>
                <w:rFonts w:ascii="Courier New" w:cs="Courier New" w:eastAsia="Courier New" w:hAnsi="Courier New"/>
                <w:b w:val="false"/>
                <w:bCs w:val="false"/>
                <w:color w:val="FADA9E"/>
                <w:sz w:val="19"/>
                <w:szCs w:val="19"/>
              </w:rPr>
              <w:t xml:space="preserve">  FIXED MARKET (MINT-06 standard):</w:t>
            </w:r>
          </w:p>
          <w:p>
            <w:pPr>
              <w:shd w:fill="FFFBF4" w:val="clear"/>
              <w:spacing w:after="28" w:before="28"/>
            </w:pPr>
            <w:r>
              <w:rPr>
                <w:rFonts w:ascii="Courier New" w:cs="Courier New" w:eastAsia="Courier New" w:hAnsi="Courier New"/>
                <w:b w:val="false"/>
                <w:bCs w:val="false"/>
                <w:color w:val="3B2005"/>
                <w:sz w:val="19"/>
                <w:szCs w:val="19"/>
              </w:rPr>
              <w:t xml:space="preserve">  All cycles in Market A (election, liquid)</w:t>
            </w:r>
          </w:p>
          <w:p>
            <w:pPr>
              <w:shd w:fill="FFFBF4" w:val="clear"/>
              <w:spacing w:after="28" w:before="28"/>
            </w:pPr>
            <w:r>
              <w:rPr>
                <w:rFonts w:ascii="Courier New" w:cs="Courier New" w:eastAsia="Courier New" w:hAnsi="Courier New"/>
                <w:b w:val="false"/>
                <w:bCs w:val="false"/>
                <w:color w:val="3B2005"/>
                <w:sz w:val="19"/>
                <w:szCs w:val="19"/>
              </w:rPr>
              <w:t xml:space="preserve">  Avg ROI/cycle: 1.33%  (base rate)</w:t>
            </w:r>
          </w:p>
          <w:p>
            <w:pPr>
              <w:shd w:fill="FEF3E2" w:val="clear"/>
              <w:spacing w:after="28" w:before="28"/>
            </w:pPr>
            <w:r>
              <w:rPr>
                <w:rFonts w:ascii="Courier New" w:cs="Courier New" w:eastAsia="Courier New" w:hAnsi="Courier New"/>
                <w:b w:val="false"/>
                <w:bCs w:val="false"/>
                <w:color w:val="6B430A"/>
                <w:sz w:val="19"/>
                <w:szCs w:val="19"/>
              </w:rPr>
              <w:t xml:space="preserve">      Cycle 1:  $1,000 -&gt; $1,013.30</w:t>
            </w:r>
          </w:p>
          <w:p>
            <w:pPr>
              <w:shd w:fill="FEF3E2" w:val="clear"/>
              <w:spacing w:after="28" w:before="28"/>
            </w:pPr>
            <w:r>
              <w:rPr>
                <w:rFonts w:ascii="Courier New" w:cs="Courier New" w:eastAsia="Courier New" w:hAnsi="Courier New"/>
                <w:b w:val="false"/>
                <w:bCs w:val="false"/>
                <w:color w:val="6B430A"/>
                <w:sz w:val="19"/>
                <w:szCs w:val="19"/>
              </w:rPr>
              <w:t xml:space="preserve">      Cycle 5:  $1,000 -&gt; $1,068.14</w:t>
            </w:r>
          </w:p>
          <w:p>
            <w:pPr>
              <w:shd w:fill="FEF3E2" w:val="clear"/>
              <w:spacing w:after="28" w:before="28"/>
            </w:pPr>
            <w:r>
              <w:rPr>
                <w:rFonts w:ascii="Courier New" w:cs="Courier New" w:eastAsia="Courier New" w:hAnsi="Courier New"/>
                <w:b w:val="false"/>
                <w:bCs w:val="false"/>
                <w:color w:val="6B430A"/>
                <w:sz w:val="19"/>
                <w:szCs w:val="19"/>
              </w:rPr>
              <w:t xml:space="preserve">      Cycle 10: $1,000 -&gt; $1,141.43</w:t>
            </w:r>
          </w:p>
          <w:p>
            <w:pPr>
              <w:shd w:fill="FFFBF4" w:val="clear"/>
              <w:spacing w:after="28" w:before="28"/>
            </w:pPr>
            <w:r>
              <w:rPr>
                <w:rFonts w:ascii="Courier New" w:cs="Courier New" w:eastAsia="Courier New" w:hAnsi="Courier New"/>
                <w:b w:val="false"/>
                <w:bCs w:val="false"/>
                <w:color w:val="3B2005"/>
                <w:sz w:val="19"/>
                <w:szCs w:val="19"/>
              </w:rPr>
              <w:t xml:space="preserve">  </w:t>
            </w:r>
          </w:p>
          <w:p>
            <w:pPr>
              <w:shd w:fill="FADA9E" w:val="clear"/>
              <w:spacing w:after="28" w:before="28"/>
            </w:pPr>
            <w:r>
              <w:rPr>
                <w:rFonts w:ascii="Courier New" w:cs="Courier New" w:eastAsia="Courier New" w:hAnsi="Courier New"/>
                <w:b w:val="false"/>
                <w:bCs w:val="false"/>
                <w:color w:val="FADA9E"/>
                <w:sz w:val="19"/>
                <w:szCs w:val="19"/>
              </w:rPr>
              <w:t xml:space="preserve">  HYB-05 DYNAMIC ROTATION:</w:t>
            </w:r>
          </w:p>
          <w:p>
            <w:pPr>
              <w:shd w:fill="FFFBF4" w:val="clear"/>
              <w:spacing w:after="28" w:before="28"/>
            </w:pPr>
            <w:r>
              <w:rPr>
                <w:rFonts w:ascii="Courier New" w:cs="Courier New" w:eastAsia="Courier New" w:hAnsi="Courier New"/>
                <w:b w:val="false"/>
                <w:bCs w:val="false"/>
                <w:color w:val="3B2005"/>
                <w:sz w:val="19"/>
                <w:szCs w:val="19"/>
              </w:rPr>
              <w:t xml:space="preserve">  Cycle 1: Market A (score 87) -&gt; +1.33%  $1,013</w:t>
            </w:r>
          </w:p>
          <w:p>
            <w:pPr>
              <w:shd w:fill="D1FAE5" w:val="clear"/>
              <w:spacing w:after="28" w:before="28"/>
            </w:pPr>
            <w:r>
              <w:rPr>
                <w:rFonts w:ascii="Courier New" w:cs="Courier New" w:eastAsia="Courier New" w:hAnsi="Courier New"/>
                <w:b/>
                <w:bCs/>
                <w:color w:val="065F46"/>
                <w:sz w:val="19"/>
                <w:szCs w:val="19"/>
              </w:rPr>
              <w:t xml:space="preserve">  Cycle 2: Market F (score 94) -&gt; +1.72%  $1,030</w:t>
            </w:r>
          </w:p>
          <w:p>
            <w:pPr>
              <w:shd w:fill="D1FAE5" w:val="clear"/>
              <w:spacing w:after="28" w:before="28"/>
            </w:pPr>
            <w:r>
              <w:rPr>
                <w:rFonts w:ascii="Courier New" w:cs="Courier New" w:eastAsia="Courier New" w:hAnsi="Courier New"/>
                <w:b/>
                <w:bCs/>
                <w:color w:val="065F46"/>
                <w:sz w:val="19"/>
                <w:szCs w:val="19"/>
              </w:rPr>
              <w:t xml:space="preserve">  Cycle 3: Market B (score 91) -&gt; +1.58%  $1,047</w:t>
            </w:r>
          </w:p>
          <w:p>
            <w:pPr>
              <w:shd w:fill="D1FAE5" w:val="clear"/>
              <w:spacing w:after="28" w:before="28"/>
            </w:pPr>
            <w:r>
              <w:rPr>
                <w:rFonts w:ascii="Courier New" w:cs="Courier New" w:eastAsia="Courier New" w:hAnsi="Courier New"/>
                <w:b/>
                <w:bCs/>
                <w:color w:val="065F46"/>
                <w:sz w:val="19"/>
                <w:szCs w:val="19"/>
              </w:rPr>
              <w:t xml:space="preserve">  Cycle 4: Market A (score 89) -&gt; +1.41%  $1,062</w:t>
            </w:r>
          </w:p>
          <w:p>
            <w:pPr>
              <w:shd w:fill="D1FAE5" w:val="clear"/>
              <w:spacing w:after="28" w:before="28"/>
            </w:pPr>
            <w:r>
              <w:rPr>
                <w:rFonts w:ascii="Courier New" w:cs="Courier New" w:eastAsia="Courier New" w:hAnsi="Courier New"/>
                <w:b/>
                <w:bCs/>
                <w:color w:val="065F46"/>
                <w:sz w:val="19"/>
                <w:szCs w:val="19"/>
              </w:rPr>
              <w:t xml:space="preserve">  Cycle 5: Market K (score 96) -&gt; +1.89%  $1,082</w:t>
            </w:r>
          </w:p>
          <w:p>
            <w:pPr>
              <w:shd w:fill="FFFBF4" w:val="clear"/>
              <w:spacing w:after="28" w:before="28"/>
            </w:pPr>
            <w:r>
              <w:rPr>
                <w:rFonts w:ascii="Courier New" w:cs="Courier New" w:eastAsia="Courier New" w:hAnsi="Courier New"/>
                <w:b w:val="false"/>
                <w:bCs w:val="false"/>
                <w:color w:val="3B2005"/>
                <w:sz w:val="19"/>
                <w:szCs w:val="19"/>
              </w:rPr>
              <w:t xml:space="preserve">  </w:t>
            </w:r>
          </w:p>
          <w:p>
            <w:pPr>
              <w:shd w:fill="FADA9E" w:val="clear"/>
              <w:spacing w:after="28" w:before="28"/>
            </w:pPr>
            <w:r>
              <w:rPr>
                <w:rFonts w:ascii="Courier New" w:cs="Courier New" w:eastAsia="Courier New" w:hAnsi="Courier New"/>
                <w:b w:val="false"/>
                <w:bCs w:val="false"/>
                <w:color w:val="FADA9E"/>
                <w:sz w:val="19"/>
                <w:szCs w:val="19"/>
              </w:rPr>
              <w:t xml:space="preserve">  After 5 cycles:</w:t>
            </w:r>
          </w:p>
          <w:p>
            <w:pPr>
              <w:shd w:fill="FEF9C3" w:val="clear"/>
              <w:spacing w:after="28" w:before="28"/>
            </w:pPr>
            <w:r>
              <w:rPr>
                <w:rFonts w:ascii="Courier New" w:cs="Courier New" w:eastAsia="Courier New" w:hAnsi="Courier New"/>
                <w:b w:val="false"/>
                <w:bCs w:val="false"/>
                <w:color w:val="854D0E"/>
                <w:sz w:val="19"/>
                <w:szCs w:val="19"/>
              </w:rPr>
              <w:t xml:space="preserve">  Fixed: $1,068.14</w:t>
            </w:r>
          </w:p>
          <w:p>
            <w:pPr>
              <w:shd w:fill="D1FAE5" w:val="clear"/>
              <w:spacing w:after="28" w:before="28"/>
            </w:pPr>
            <w:r>
              <w:rPr>
                <w:rFonts w:ascii="Courier New" w:cs="Courier New" w:eastAsia="Courier New" w:hAnsi="Courier New"/>
                <w:b/>
                <w:bCs/>
                <w:color w:val="065F46"/>
                <w:sz w:val="19"/>
                <w:szCs w:val="19"/>
              </w:rPr>
              <w:t xml:space="preserve">  Dynamic: $1,082.00  (+$13.86 difference)</w:t>
            </w:r>
          </w:p>
          <w:p>
            <w:pPr>
              <w:shd w:fill="D1FAE5" w:val="clear"/>
              <w:spacing w:after="28" w:before="28"/>
            </w:pPr>
            <w:r>
              <w:rPr>
                <w:rFonts w:ascii="Courier New" w:cs="Courier New" w:eastAsia="Courier New" w:hAnsi="Courier New"/>
                <w:b/>
                <w:bCs/>
                <w:color w:val="065F46"/>
                <w:sz w:val="19"/>
                <w:szCs w:val="19"/>
              </w:rPr>
              <w:t xml:space="preserve">  Improvement: +1.4% in just 5 cycles</w:t>
            </w:r>
          </w:p>
          <w:p>
            <w:pPr>
              <w:shd w:fill="FFFBF4" w:val="clear"/>
              <w:spacing w:after="28" w:before="28"/>
            </w:pPr>
            <w:r>
              <w:rPr>
                <w:rFonts w:ascii="Courier New" w:cs="Courier New" w:eastAsia="Courier New" w:hAnsi="Courier New"/>
                <w:b w:val="false"/>
                <w:bCs w:val="false"/>
                <w:color w:val="3B2005"/>
                <w:sz w:val="19"/>
                <w:szCs w:val="19"/>
              </w:rPr>
              <w:t xml:space="preserve">  </w:t>
            </w:r>
          </w:p>
          <w:p>
            <w:pPr>
              <w:shd w:fill="FADA9E" w:val="clear"/>
              <w:spacing w:after="28" w:before="28"/>
            </w:pPr>
            <w:r>
              <w:rPr>
                <w:rFonts w:ascii="Courier New" w:cs="Courier New" w:eastAsia="Courier New" w:hAnsi="Courier New"/>
                <w:b w:val="false"/>
                <w:bCs w:val="false"/>
                <w:color w:val="FADA9E"/>
                <w:sz w:val="19"/>
                <w:szCs w:val="19"/>
              </w:rPr>
              <w:t xml:space="preserve">  After 30 cycles (1 month):</w:t>
            </w:r>
          </w:p>
          <w:p>
            <w:pPr>
              <w:shd w:fill="FEF9C3" w:val="clear"/>
              <w:spacing w:after="28" w:before="28"/>
            </w:pPr>
            <w:r>
              <w:rPr>
                <w:rFonts w:ascii="Courier New" w:cs="Courier New" w:eastAsia="Courier New" w:hAnsi="Courier New"/>
                <w:b w:val="false"/>
                <w:bCs w:val="false"/>
                <w:color w:val="854D0E"/>
                <w:sz w:val="19"/>
                <w:szCs w:val="19"/>
              </w:rPr>
              <w:t xml:space="preserve">  Fixed (MINT-06):   ~$1,480  (+48%)</w:t>
            </w:r>
          </w:p>
          <w:p>
            <w:pPr>
              <w:shd w:fill="D1FAE5" w:val="clear"/>
              <w:spacing w:after="28" w:before="28"/>
            </w:pPr>
            <w:r>
              <w:rPr>
                <w:rFonts w:ascii="Courier New" w:cs="Courier New" w:eastAsia="Courier New" w:hAnsi="Courier New"/>
                <w:b/>
                <w:bCs/>
                <w:color w:val="065F46"/>
                <w:sz w:val="19"/>
                <w:szCs w:val="19"/>
              </w:rPr>
              <w:t xml:space="preserve">  Dynamic (HYB-05):  ~$1,672  (+67.2%)</w:t>
            </w:r>
          </w:p>
          <w:p>
            <w:pPr>
              <w:shd w:fill="CCFBF1" w:val="clear"/>
              <w:spacing w:after="28" w:before="28"/>
            </w:pPr>
            <w:r>
              <w:rPr>
                <w:rFonts w:ascii="Courier New" w:cs="Courier New" w:eastAsia="Courier New" w:hAnsi="Courier New"/>
                <w:b/>
                <w:bCs/>
                <w:color w:val="0F766E"/>
                <w:sz w:val="19"/>
                <w:szCs w:val="19"/>
              </w:rPr>
              <w:t xml:space="preserve">  Improvement: +$192 more / +19.2pp gap</w:t>
            </w:r>
          </w:p>
          <w:p>
            <w:pPr>
              <w:shd w:fill="FFFBF4" w:val="clear"/>
              <w:spacing w:after="28" w:before="28"/>
            </w:pPr>
            <w:r>
              <w:rPr>
                <w:rFonts w:ascii="Courier New" w:cs="Courier New" w:eastAsia="Courier New" w:hAnsi="Courier New"/>
                <w:b w:val="false"/>
                <w:bCs w:val="false"/>
                <w:color w:val="3B2005"/>
                <w:sz w:val="19"/>
                <w:szCs w:val="19"/>
              </w:rPr>
              <w:t xml:space="preserve">  </w:t>
            </w:r>
          </w:p>
          <w:p>
            <w:pPr>
              <w:shd w:fill="FADA9E" w:val="clear"/>
              <w:spacing w:after="28" w:before="28"/>
            </w:pPr>
            <w:r>
              <w:rPr>
                <w:rFonts w:ascii="Courier New" w:cs="Courier New" w:eastAsia="Courier New" w:hAnsi="Courier New"/>
                <w:b w:val="false"/>
                <w:bCs w:val="false"/>
                <w:color w:val="FADA9E"/>
                <w:sz w:val="19"/>
                <w:szCs w:val="19"/>
              </w:rPr>
              <w:t xml:space="preserve">  After 12 months (360 cycles):</w:t>
            </w:r>
          </w:p>
          <w:p>
            <w:pPr>
              <w:shd w:fill="FEF9C3" w:val="clear"/>
              <w:spacing w:after="28" w:before="28"/>
            </w:pPr>
            <w:r>
              <w:rPr>
                <w:rFonts w:ascii="Courier New" w:cs="Courier New" w:eastAsia="Courier New" w:hAnsi="Courier New"/>
                <w:b w:val="false"/>
                <w:bCs w:val="false"/>
                <w:color w:val="854D0E"/>
                <w:sz w:val="19"/>
                <w:szCs w:val="19"/>
              </w:rPr>
              <w:t xml:space="preserve">  Fixed:   ~$7,800  (7.8x multiplier)</w:t>
            </w:r>
          </w:p>
          <w:p>
            <w:pPr>
              <w:shd w:fill="CCFBF1" w:val="clear"/>
              <w:spacing w:after="28" w:before="28"/>
            </w:pPr>
            <w:r>
              <w:rPr>
                <w:rFonts w:ascii="Courier New" w:cs="Courier New" w:eastAsia="Courier New" w:hAnsi="Courier New"/>
                <w:b/>
                <w:bCs/>
                <w:color w:val="0F766E"/>
                <w:sz w:val="19"/>
                <w:szCs w:val="19"/>
              </w:rPr>
              <w:t xml:space="preserve">  Dynamic: ~$12,100 (12.1x multiplier)</w:t>
            </w:r>
          </w:p>
          <w:p>
            <w:pPr>
              <w:shd w:fill="CCFBF1" w:val="clear"/>
              <w:spacing w:after="28" w:before="28"/>
            </w:pPr>
            <w:r>
              <w:rPr>
                <w:rFonts w:ascii="Courier New" w:cs="Courier New" w:eastAsia="Courier New" w:hAnsi="Courier New"/>
                <w:b/>
                <w:bCs/>
                <w:color w:val="0F766E"/>
                <w:sz w:val="19"/>
                <w:szCs w:val="19"/>
              </w:rPr>
              <w:t xml:space="preserve">  HYB-05 advantage: +$4,300 on $1,000 start</w:t>
            </w:r>
          </w:p>
        </w:tc>
      </w:tr>
    </w:tbl>
    <w:p>
      <w:pPr>
        <w:spacing w:after="0" w:before="40"/>
      </w:pPr>
      <w:r>
        <w:t xml:space="preserve"/>
      </w:r>
    </w:p>
    <w:p>
      <w:pPr>
        <w:pBdr>
          <w:left w:val="single" w:color="991B1B" w:sz="16"/>
        </w:pBdr>
        <w:shd w:fill="FEE2E2" w:val="clear"/>
        <w:spacing w:after="50" w:before="80"/>
        <w:ind w:left="200"/>
      </w:pPr>
      <w:r>
        <w:rPr>
          <w:rFonts w:ascii="Courier New" w:cs="Courier New" w:eastAsia="Courier New" w:hAnsi="Courier New"/>
          <w:b/>
          <w:bCs/>
          <w:color w:val="991B1B"/>
          <w:sz w:val="16"/>
          <w:szCs w:val="16"/>
        </w:rPr>
        <w:t xml:space="preserve">MARKET ROTATION DISCIPLINE</w:t>
      </w:r>
    </w:p>
    <w:p>
      <w:pPr>
        <w:pBdr>
          <w:left w:val="single" w:color="991B1B" w:sz="16"/>
        </w:pBdr>
        <w:shd w:fill="FEE2E2" w:val="clear"/>
        <w:spacing w:after="40" w:before="40"/>
        <w:ind w:left="200"/>
      </w:pPr>
      <w:r>
        <w:rPr>
          <w:rFonts w:ascii="Arial" w:cs="Arial" w:eastAsia="Arial" w:hAnsi="Arial"/>
          <w:color w:val="3B2005"/>
          <w:sz w:val="21"/>
          <w:szCs w:val="21"/>
        </w:rPr>
        <w:t xml:space="preserve">The most dangerous failure mode in HYB-05 is selecting a high-scoring market that has a very short time to resolution — the "urgency" dimension can push a market to the top of the ranking even when it has marginal spread. Always impose a minimum resolution horizon filter: never mint in a market resolving in fewer than 72 hours. The risk of partial execution combined with rapid resolution can convert a +1.5% cycle into a complete capital loss if the event resolves before both orders fill.</w:t>
      </w:r>
    </w:p>
    <w:p>
      <w:pPr>
        <w:pBdr>
          <w:left w:val="single" w:color="991B1B" w:sz="16"/>
        </w:pBdr>
        <w:shd w:fill="FEE2E2" w:val="clear"/>
        <w:spacing w:after="60" w:before="40"/>
        <w:ind w:left="200"/>
      </w:pPr>
      <w:r>
        <w:t xml:space="preserve"/>
      </w:r>
    </w:p>
    <w:p>
      <w:pPr>
        <w:shd w:fill="8B4500" w:val="clear"/>
        <w:spacing w:after="100" w:before="360"/>
      </w:pPr>
      <w:r>
        <w:rPr>
          <w:rFonts w:ascii="Courier New" w:cs="Courier New" w:eastAsia="Courier New" w:hAnsi="Courier New"/>
          <w:b/>
          <w:bCs/>
          <w:color w:val="FDEBD0"/>
          <w:sz w:val="17"/>
          <w:szCs w:val="17"/>
        </w:rPr>
        <w:t xml:space="preserve">  // 03 · CONCLUSIONS  </w:t>
      </w:r>
    </w:p>
    <w:p>
      <w:pPr>
        <w:pStyle w:val="Heading1"/>
        <w:pBdr>
          <w:bottom w:val="single" w:color="C87137" w:sz="8" w:space="3"/>
        </w:pBdr>
        <w:spacing w:after="140" w:before="280"/>
      </w:pPr>
      <w:r>
        <w:rPr>
          <w:rFonts w:ascii="Arial" w:cs="Arial" w:eastAsia="Arial" w:hAnsi="Arial"/>
          <w:b/>
          <w:bCs/>
          <w:color w:val="1C1007"/>
          <w:sz w:val="40"/>
          <w:szCs w:val="40"/>
        </w:rPr>
        <w:t xml:space="preserve">Two Essential Frameworks for Hybrid Execution</w:t>
      </w:r>
    </w:p>
    <w:p>
      <w:pPr>
        <w:pBdr>
          <w:bottom w:val="single" w:color="C87137" w:sz="4" w:space="2"/>
        </w:pBdr>
        <w:spacing w:after="60" w:before="60"/>
      </w:pPr>
      <w:r>
        <w:t xml:space="preserve"/>
      </w:r>
    </w:p>
    <w:p>
      <w:pPr>
        <w:pStyle w:val="Heading2"/>
        <w:spacing w:after="100" w:before="240"/>
      </w:pPr>
      <w:r>
        <w:rPr>
          <w:rFonts w:ascii="Arial" w:cs="Arial" w:eastAsia="Arial" w:hAnsi="Arial"/>
          <w:b/>
          <w:bCs/>
          <w:color w:val="8B4500"/>
          <w:sz w:val="30"/>
          <w:szCs w:val="30"/>
        </w:rPr>
        <w:t xml:space="preserve">1.  Risks and Returns: The Hybrid Advantage Quantified</w:t>
      </w:r>
    </w:p>
    <w:p>
      <w:pPr>
        <w:spacing w:after="60" w:before="60"/>
      </w:pPr>
      <w:r>
        <w:rPr>
          <w:rFonts w:ascii="Arial" w:cs="Arial" w:eastAsia="Arial" w:hAnsi="Arial"/>
          <w:color w:val="3B2005"/>
          <w:sz w:val="22"/>
          <w:szCs w:val="22"/>
        </w:rPr>
        <w:t xml:space="preserve">The defining characteristic of hybrid strategies is not just that they combine two approaches — it is that </w:t>
      </w:r>
      <w:r>
        <w:rPr>
          <w:rFonts w:ascii="Arial" w:cs="Arial" w:eastAsia="Arial" w:hAnsi="Arial"/>
          <w:b/>
          <w:bCs/>
          <w:color w:val="1C1007"/>
          <w:sz w:val="22"/>
          <w:szCs w:val="22"/>
        </w:rPr>
        <w:t xml:space="preserve">each combination addresses a specific, documented failure mode</w:t>
      </w:r>
      <w:r>
        <w:rPr>
          <w:rFonts w:ascii="Arial" w:cs="Arial" w:eastAsia="Arial" w:hAnsi="Arial"/>
          <w:color w:val="3B2005"/>
          <w:sz w:val="22"/>
          <w:szCs w:val="22"/>
        </w:rPr>
        <w:t xml:space="preserve"> of its components. This is architecturally different from diversification, which spreads risk across uncorrelated exposures. Hybridization </w:t>
      </w:r>
      <w:r>
        <w:rPr>
          <w:rFonts w:ascii="Arial" w:cs="Arial" w:eastAsia="Arial" w:hAnsi="Arial"/>
          <w:i/>
          <w:iCs/>
          <w:color w:val="6B430A"/>
          <w:sz w:val="22"/>
          <w:szCs w:val="22"/>
        </w:rPr>
        <w:t xml:space="preserve">eliminates</w:t>
      </w:r>
      <w:r>
        <w:rPr>
          <w:rFonts w:ascii="Arial" w:cs="Arial" w:eastAsia="Arial" w:hAnsi="Arial"/>
          <w:color w:val="3B2005"/>
          <w:sz w:val="22"/>
          <w:szCs w:val="22"/>
        </w:rPr>
        <w:t xml:space="preserve"> a specific risk by using a second mechanism as a targeted counter. The result is a fundamentally different risk profile: lower tail risk, more consistent returns, and reduced dependence on any single condition being true.</w:t>
      </w:r>
    </w:p>
    <w:p>
      <w:pPr>
        <w:spacing w:after="0" w:before="50"/>
      </w:pPr>
      <w:r>
        <w:t xml:space="preserve"/>
      </w:r>
    </w:p>
    <w:p>
      <w:pPr>
        <w:pStyle w:val="Heading3"/>
        <w:spacing w:after="80" w:before="180"/>
      </w:pPr>
      <w:r>
        <w:rPr>
          <w:rFonts w:ascii="Arial" w:cs="Arial" w:eastAsia="Arial" w:hAnsi="Arial"/>
          <w:b/>
          <w:bCs/>
          <w:color w:val="B85C00"/>
          <w:sz w:val="24"/>
          <w:szCs w:val="24"/>
        </w:rPr>
        <w:t xml:space="preserve">Return, risk reduction, and synergy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680"/>
        <w:gridCol w:w="2040"/>
        <w:gridCol w:w="2040"/>
        <w:gridCol w:w="2160"/>
      </w:tblGrid>
      <w:tr>
        <w:trPr>
          <w:tblHeader/>
        </w:trPr>
        <w:tc>
          <w:tcPr>
            <w:tcW w:type="dxa" w:w="1440"/>
            <w:tcBorders>
              <w:top w:val="single" w:color="FADA9E" w:sz="1"/>
              <w:left w:val="single" w:color="FADA9E" w:sz="1"/>
              <w:bottom w:val="single" w:color="FADA9E" w:sz="1"/>
              <w:right w:val="single" w:color="FADA9E" w:sz="1"/>
            </w:tcBorders>
            <w:shd w:fill="8B4500" w:val="clear"/>
            <w:tcMar>
              <w:top w:type="dxa" w:w="90"/>
              <w:left w:type="dxa" w:w="130"/>
              <w:bottom w:type="dxa" w:w="90"/>
              <w:right w:type="dxa" w:w="130"/>
            </w:tcMar>
          </w:tcPr>
          <w:p>
            <w:pPr>
              <w:spacing w:after="40" w:before="40"/>
            </w:pPr>
            <w:r>
              <w:rPr>
                <w:rFonts w:ascii="Arial" w:cs="Arial" w:eastAsia="Arial" w:hAnsi="Arial"/>
                <w:b/>
                <w:bCs/>
                <w:color w:val="FFFFFF"/>
                <w:sz w:val="19"/>
                <w:szCs w:val="19"/>
              </w:rPr>
              <w:t xml:space="preserve">Strategy</w:t>
            </w:r>
          </w:p>
        </w:tc>
        <w:tc>
          <w:tcPr>
            <w:tcW w:type="dxa" w:w="1680"/>
            <w:tcBorders>
              <w:top w:val="single" w:color="FADA9E" w:sz="1"/>
              <w:left w:val="single" w:color="FADA9E" w:sz="1"/>
              <w:bottom w:val="single" w:color="FADA9E" w:sz="1"/>
              <w:right w:val="single" w:color="FADA9E" w:sz="1"/>
            </w:tcBorders>
            <w:shd w:fill="8B4500" w:val="clear"/>
            <w:tcMar>
              <w:top w:type="dxa" w:w="90"/>
              <w:left w:type="dxa" w:w="130"/>
              <w:bottom w:type="dxa" w:w="90"/>
              <w:right w:type="dxa" w:w="130"/>
            </w:tcMar>
          </w:tcPr>
          <w:p>
            <w:pPr>
              <w:spacing w:after="40" w:before="40"/>
            </w:pPr>
            <w:r>
              <w:rPr>
                <w:rFonts w:ascii="Arial" w:cs="Arial" w:eastAsia="Arial" w:hAnsi="Arial"/>
                <w:b/>
                <w:bCs/>
                <w:color w:val="FFFFFF"/>
                <w:sz w:val="19"/>
                <w:szCs w:val="19"/>
              </w:rPr>
              <w:t xml:space="preserve">Base Return</w:t>
            </w:r>
          </w:p>
        </w:tc>
        <w:tc>
          <w:tcPr>
            <w:tcW w:type="dxa" w:w="2040"/>
            <w:tcBorders>
              <w:top w:val="single" w:color="FADA9E" w:sz="1"/>
              <w:left w:val="single" w:color="FADA9E" w:sz="1"/>
              <w:bottom w:val="single" w:color="FADA9E" w:sz="1"/>
              <w:right w:val="single" w:color="FADA9E" w:sz="1"/>
            </w:tcBorders>
            <w:shd w:fill="8B4500" w:val="clear"/>
            <w:tcMar>
              <w:top w:type="dxa" w:w="90"/>
              <w:left w:type="dxa" w:w="130"/>
              <w:bottom w:type="dxa" w:w="90"/>
              <w:right w:type="dxa" w:w="130"/>
            </w:tcMar>
          </w:tcPr>
          <w:p>
            <w:pPr>
              <w:spacing w:after="40" w:before="40"/>
            </w:pPr>
            <w:r>
              <w:rPr>
                <w:rFonts w:ascii="Arial" w:cs="Arial" w:eastAsia="Arial" w:hAnsi="Arial"/>
                <w:b/>
                <w:bCs/>
                <w:color w:val="FFFFFF"/>
                <w:sz w:val="19"/>
                <w:szCs w:val="19"/>
              </w:rPr>
              <w:t xml:space="preserve">Risk Eliminated</w:t>
            </w:r>
          </w:p>
        </w:tc>
        <w:tc>
          <w:tcPr>
            <w:tcW w:type="dxa" w:w="2040"/>
            <w:tcBorders>
              <w:top w:val="single" w:color="FADA9E" w:sz="1"/>
              <w:left w:val="single" w:color="FADA9E" w:sz="1"/>
              <w:bottom w:val="single" w:color="FADA9E" w:sz="1"/>
              <w:right w:val="single" w:color="FADA9E" w:sz="1"/>
            </w:tcBorders>
            <w:shd w:fill="8B4500" w:val="clear"/>
            <w:tcMar>
              <w:top w:type="dxa" w:w="90"/>
              <w:left w:type="dxa" w:w="130"/>
              <w:bottom w:type="dxa" w:w="90"/>
              <w:right w:type="dxa" w:w="130"/>
            </w:tcMar>
          </w:tcPr>
          <w:p>
            <w:pPr>
              <w:spacing w:after="40" w:before="40"/>
            </w:pPr>
            <w:r>
              <w:rPr>
                <w:rFonts w:ascii="Arial" w:cs="Arial" w:eastAsia="Arial" w:hAnsi="Arial"/>
                <w:b/>
                <w:bCs/>
                <w:color w:val="FFFFFF"/>
                <w:sz w:val="19"/>
                <w:szCs w:val="19"/>
              </w:rPr>
              <w:t xml:space="preserve">Return Impact</w:t>
            </w:r>
          </w:p>
        </w:tc>
        <w:tc>
          <w:tcPr>
            <w:tcW w:type="dxa" w:w="2160"/>
            <w:tcBorders>
              <w:top w:val="single" w:color="FADA9E" w:sz="1"/>
              <w:left w:val="single" w:color="FADA9E" w:sz="1"/>
              <w:bottom w:val="single" w:color="FADA9E" w:sz="1"/>
              <w:right w:val="single" w:color="FADA9E" w:sz="1"/>
            </w:tcBorders>
            <w:shd w:fill="8B4500" w:val="clear"/>
            <w:tcMar>
              <w:top w:type="dxa" w:w="90"/>
              <w:left w:type="dxa" w:w="130"/>
              <w:bottom w:type="dxa" w:w="90"/>
              <w:right w:type="dxa" w:w="130"/>
            </w:tcMar>
          </w:tcPr>
          <w:p>
            <w:pPr>
              <w:spacing w:after="40" w:before="40"/>
            </w:pPr>
            <w:r>
              <w:rPr>
                <w:rFonts w:ascii="Arial" w:cs="Arial" w:eastAsia="Arial" w:hAnsi="Arial"/>
                <w:b/>
                <w:bCs/>
                <w:color w:val="FFFFFF"/>
                <w:sz w:val="19"/>
                <w:szCs w:val="19"/>
              </w:rPr>
              <w:t xml:space="preserve">Net Advantage</w:t>
            </w:r>
          </w:p>
        </w:tc>
      </w:tr>
      <w:tr>
        <w:tc>
          <w:tcPr>
            <w:tcW w:type="dxa" w:w="1440"/>
            <w:tcBorders>
              <w:top w:val="single" w:color="FADA9E" w:sz="1"/>
              <w:left w:val="single" w:color="FADA9E" w:sz="1"/>
              <w:bottom w:val="single" w:color="FADA9E" w:sz="1"/>
              <w:right w:val="single" w:color="FADA9E" w:sz="1"/>
            </w:tcBorders>
            <w:shd w:fill="FADA9E" w:val="clear"/>
            <w:tcMar>
              <w:top w:type="dxa" w:w="80"/>
              <w:left w:type="dxa" w:w="120"/>
              <w:bottom w:type="dxa" w:w="80"/>
              <w:right w:type="dxa" w:w="120"/>
            </w:tcMar>
          </w:tcPr>
          <w:p>
            <w:pPr>
              <w:spacing w:after="40" w:before="40"/>
            </w:pPr>
            <w:r>
              <w:rPr>
                <w:rFonts w:ascii="Arial" w:cs="Arial" w:eastAsia="Arial" w:hAnsi="Arial"/>
                <w:b/>
                <w:bCs/>
                <w:color w:val="8B4500"/>
                <w:sz w:val="19"/>
                <w:szCs w:val="19"/>
              </w:rPr>
              <w:t xml:space="preserve">HYB-01</w:t>
            </w:r>
          </w:p>
        </w:tc>
        <w:tc>
          <w:tcPr>
            <w:tcW w:type="dxa" w:w="1680"/>
            <w:tcBorders>
              <w:top w:val="single" w:color="FADA9E" w:sz="1"/>
              <w:left w:val="single" w:color="FADA9E" w:sz="1"/>
              <w:bottom w:val="single" w:color="FADA9E" w:sz="1"/>
              <w:right w:val="single" w:color="FADA9E" w:sz="1"/>
            </w:tcBorders>
            <w:shd w:fill="FDEBD0" w:val="clear"/>
            <w:tcMar>
              <w:top w:type="dxa" w:w="80"/>
              <w:left w:type="dxa" w:w="120"/>
              <w:bottom w:type="dxa" w:w="80"/>
              <w:right w:type="dxa" w:w="120"/>
            </w:tcMar>
          </w:tcPr>
          <w:p>
            <w:pPr>
              <w:spacing w:after="40" w:before="40"/>
            </w:pPr>
            <w:r>
              <w:rPr>
                <w:rFonts w:ascii="Arial" w:cs="Arial" w:eastAsia="Arial" w:hAnsi="Arial"/>
                <w:b w:val="false"/>
                <w:bCs w:val="false"/>
                <w:color w:val="3B2005"/>
                <w:sz w:val="19"/>
                <w:szCs w:val="19"/>
              </w:rPr>
              <w:t xml:space="preserve">26–28% APY</w:t>
            </w:r>
          </w:p>
        </w:tc>
        <w:tc>
          <w:tcPr>
            <w:tcW w:type="dxa" w:w="2040"/>
            <w:tcBorders>
              <w:top w:val="single" w:color="FADA9E" w:sz="1"/>
              <w:left w:val="single" w:color="FADA9E" w:sz="1"/>
              <w:bottom w:val="single" w:color="FADA9E" w:sz="1"/>
              <w:right w:val="single" w:color="FADA9E" w:sz="1"/>
            </w:tcBorders>
            <w:shd w:fill="FDEBD0" w:val="clear"/>
            <w:tcMar>
              <w:top w:type="dxa" w:w="80"/>
              <w:left w:type="dxa" w:w="120"/>
              <w:bottom w:type="dxa" w:w="80"/>
              <w:right w:type="dxa" w:w="120"/>
            </w:tcMar>
          </w:tcPr>
          <w:p>
            <w:pPr>
              <w:spacing w:after="40" w:before="40"/>
            </w:pPr>
            <w:r>
              <w:rPr>
                <w:rFonts w:ascii="Arial" w:cs="Arial" w:eastAsia="Arial" w:hAnsi="Arial"/>
                <w:b w:val="false"/>
                <w:bCs w:val="false"/>
                <w:color w:val="3B2005"/>
                <w:sz w:val="19"/>
                <w:szCs w:val="19"/>
              </w:rPr>
              <w:t xml:space="preserve">Spread-vs-Rewards trade-off</w:t>
            </w:r>
          </w:p>
        </w:tc>
        <w:tc>
          <w:tcPr>
            <w:tcW w:type="dxa" w:w="2040"/>
            <w:tcBorders>
              <w:top w:val="single" w:color="FADA9E" w:sz="1"/>
              <w:left w:val="single" w:color="FADA9E" w:sz="1"/>
              <w:bottom w:val="single" w:color="FADA9E" w:sz="1"/>
              <w:right w:val="single" w:color="FADA9E" w:sz="1"/>
            </w:tcBorders>
            <w:shd w:fill="FEF9C3" w:val="clear"/>
            <w:tcMar>
              <w:top w:type="dxa" w:w="80"/>
              <w:left w:type="dxa" w:w="120"/>
              <w:bottom w:type="dxa" w:w="80"/>
              <w:right w:type="dxa" w:w="120"/>
            </w:tcMar>
          </w:tcPr>
          <w:p>
            <w:pPr>
              <w:spacing w:after="40" w:before="40"/>
            </w:pPr>
            <w:r>
              <w:rPr>
                <w:rFonts w:ascii="Arial" w:cs="Arial" w:eastAsia="Arial" w:hAnsi="Arial"/>
                <w:b w:val="false"/>
                <w:bCs w:val="false"/>
                <w:color w:val="854D0E"/>
                <w:sz w:val="19"/>
                <w:szCs w:val="19"/>
              </w:rPr>
              <w:t xml:space="preserve">-6pts vs MINT-04 pure</w:t>
            </w:r>
          </w:p>
        </w:tc>
        <w:tc>
          <w:tcPr>
            <w:tcW w:type="dxa" w:w="2160"/>
            <w:tcBorders>
              <w:top w:val="single" w:color="FADA9E" w:sz="1"/>
              <w:left w:val="single" w:color="FADA9E" w:sz="1"/>
              <w:bottom w:val="single" w:color="FADA9E" w:sz="1"/>
              <w:right w:val="single" w:color="FADA9E" w:sz="1"/>
            </w:tcBorders>
            <w:shd w:fill="D1FAE5" w:val="clear"/>
            <w:tcMar>
              <w:top w:type="dxa" w:w="80"/>
              <w:left w:type="dxa" w:w="120"/>
              <w:bottom w:type="dxa" w:w="80"/>
              <w:right w:type="dxa" w:w="120"/>
            </w:tcMar>
          </w:tcPr>
          <w:p>
            <w:pPr>
              <w:spacing w:after="40" w:before="40"/>
            </w:pPr>
            <w:r>
              <w:rPr>
                <w:rFonts w:ascii="Arial" w:cs="Arial" w:eastAsia="Arial" w:hAnsi="Arial"/>
                <w:b/>
                <w:bCs/>
                <w:color w:val="065F46"/>
                <w:sz w:val="19"/>
                <w:szCs w:val="19"/>
              </w:rPr>
              <w:t xml:space="preserve">More consistent yield</w:t>
            </w:r>
          </w:p>
        </w:tc>
      </w:tr>
      <w:tr>
        <w:tc>
          <w:tcPr>
            <w:tcW w:type="dxa" w:w="1440"/>
            <w:tcBorders>
              <w:top w:val="single" w:color="FADA9E" w:sz="1"/>
              <w:left w:val="single" w:color="FADA9E" w:sz="1"/>
              <w:bottom w:val="single" w:color="FADA9E" w:sz="1"/>
              <w:right w:val="single" w:color="FADA9E" w:sz="1"/>
            </w:tcBorders>
            <w:shd w:fill="FADA9E" w:val="clear"/>
            <w:tcMar>
              <w:top w:type="dxa" w:w="80"/>
              <w:left w:type="dxa" w:w="120"/>
              <w:bottom w:type="dxa" w:w="80"/>
              <w:right w:type="dxa" w:w="120"/>
            </w:tcMar>
          </w:tcPr>
          <w:p>
            <w:pPr>
              <w:spacing w:after="40" w:before="40"/>
            </w:pPr>
            <w:r>
              <w:rPr>
                <w:rFonts w:ascii="Arial" w:cs="Arial" w:eastAsia="Arial" w:hAnsi="Arial"/>
                <w:b/>
                <w:bCs/>
                <w:color w:val="8B4500"/>
                <w:sz w:val="19"/>
                <w:szCs w:val="19"/>
              </w:rPr>
              <w:t xml:space="preserve">HYB-02</w:t>
            </w:r>
          </w:p>
        </w:tc>
        <w:tc>
          <w:tcPr>
            <w:tcW w:type="dxa" w:w="1680"/>
            <w:tcBorders>
              <w:top w:val="single" w:color="FADA9E" w:sz="1"/>
              <w:left w:val="single" w:color="FADA9E" w:sz="1"/>
              <w:bottom w:val="single" w:color="FADA9E" w:sz="1"/>
              <w:right w:val="single" w:color="FADA9E" w:sz="1"/>
            </w:tcBorders>
            <w:shd w:fill="FEF3E2" w:val="clear"/>
            <w:tcMar>
              <w:top w:type="dxa" w:w="80"/>
              <w:left w:type="dxa" w:w="120"/>
              <w:bottom w:type="dxa" w:w="80"/>
              <w:right w:type="dxa" w:w="120"/>
            </w:tcMar>
          </w:tcPr>
          <w:p>
            <w:pPr>
              <w:spacing w:after="40" w:before="40"/>
            </w:pPr>
            <w:r>
              <w:rPr>
                <w:rFonts w:ascii="Arial" w:cs="Arial" w:eastAsia="Arial" w:hAnsi="Arial"/>
                <w:b w:val="false"/>
                <w:bCs w:val="false"/>
                <w:color w:val="3B2005"/>
                <w:sz w:val="19"/>
                <w:szCs w:val="19"/>
              </w:rPr>
              <w:t xml:space="preserve">11–13% ROI/trade</w:t>
            </w:r>
          </w:p>
        </w:tc>
        <w:tc>
          <w:tcPr>
            <w:tcW w:type="dxa" w:w="2040"/>
            <w:tcBorders>
              <w:top w:val="single" w:color="FADA9E" w:sz="1"/>
              <w:left w:val="single" w:color="FADA9E" w:sz="1"/>
              <w:bottom w:val="single" w:color="FADA9E" w:sz="1"/>
              <w:right w:val="single" w:color="FADA9E" w:sz="1"/>
            </w:tcBorders>
            <w:shd w:fill="FEE2E2" w:val="clear"/>
            <w:tcMar>
              <w:top w:type="dxa" w:w="80"/>
              <w:left w:type="dxa" w:w="120"/>
              <w:bottom w:type="dxa" w:w="80"/>
              <w:right w:type="dxa" w:w="120"/>
            </w:tcMar>
          </w:tcPr>
          <w:p>
            <w:pPr>
              <w:spacing w:after="40" w:before="40"/>
            </w:pPr>
            <w:r>
              <w:rPr>
                <w:rFonts w:ascii="Arial" w:cs="Arial" w:eastAsia="Arial" w:hAnsi="Arial"/>
                <w:b/>
                <w:bCs/>
                <w:color w:val="991B1B"/>
                <w:sz w:val="19"/>
                <w:szCs w:val="19"/>
              </w:rPr>
              <w:t xml:space="preserve">13% partial-fill catastrophe</w:t>
            </w:r>
          </w:p>
        </w:tc>
        <w:tc>
          <w:tcPr>
            <w:tcW w:type="dxa" w:w="2040"/>
            <w:tcBorders>
              <w:top w:val="single" w:color="FADA9E" w:sz="1"/>
              <w:left w:val="single" w:color="FADA9E" w:sz="1"/>
              <w:bottom w:val="single" w:color="FADA9E" w:sz="1"/>
              <w:right w:val="single" w:color="FADA9E" w:sz="1"/>
            </w:tcBorders>
            <w:shd w:fill="FEF9C3" w:val="clear"/>
            <w:tcMar>
              <w:top w:type="dxa" w:w="80"/>
              <w:left w:type="dxa" w:w="120"/>
              <w:bottom w:type="dxa" w:w="80"/>
              <w:right w:type="dxa" w:w="120"/>
            </w:tcMar>
          </w:tcPr>
          <w:p>
            <w:pPr>
              <w:spacing w:after="40" w:before="40"/>
            </w:pPr>
            <w:r>
              <w:rPr>
                <w:rFonts w:ascii="Arial" w:cs="Arial" w:eastAsia="Arial" w:hAnsi="Arial"/>
                <w:b w:val="false"/>
                <w:bCs w:val="false"/>
                <w:color w:val="854D0E"/>
                <w:sz w:val="19"/>
                <w:szCs w:val="19"/>
              </w:rPr>
              <w:t xml:space="preserve">-1–2% per trade (hedge cost)</w:t>
            </w:r>
          </w:p>
        </w:tc>
        <w:tc>
          <w:tcPr>
            <w:tcW w:type="dxa" w:w="2160"/>
            <w:tcBorders>
              <w:top w:val="single" w:color="FADA9E" w:sz="1"/>
              <w:left w:val="single" w:color="FADA9E" w:sz="1"/>
              <w:bottom w:val="single" w:color="FADA9E" w:sz="1"/>
              <w:right w:val="single" w:color="FADA9E" w:sz="1"/>
            </w:tcBorders>
            <w:shd w:fill="D1FAE5" w:val="clear"/>
            <w:tcMar>
              <w:top w:type="dxa" w:w="80"/>
              <w:left w:type="dxa" w:w="120"/>
              <w:bottom w:type="dxa" w:w="80"/>
              <w:right w:type="dxa" w:w="120"/>
            </w:tcMar>
          </w:tcPr>
          <w:p>
            <w:pPr>
              <w:spacing w:after="40" w:before="40"/>
            </w:pPr>
            <w:r>
              <w:rPr>
                <w:rFonts w:ascii="Arial" w:cs="Arial" w:eastAsia="Arial" w:hAnsi="Arial"/>
                <w:b/>
                <w:bCs/>
                <w:color w:val="065F46"/>
                <w:sz w:val="19"/>
                <w:szCs w:val="19"/>
              </w:rPr>
              <w:t xml:space="preserve">Zero catastrophic loss</w:t>
            </w:r>
          </w:p>
        </w:tc>
      </w:tr>
      <w:tr>
        <w:tc>
          <w:tcPr>
            <w:tcW w:type="dxa" w:w="1440"/>
            <w:tcBorders>
              <w:top w:val="single" w:color="FADA9E" w:sz="1"/>
              <w:left w:val="single" w:color="FADA9E" w:sz="1"/>
              <w:bottom w:val="single" w:color="FADA9E" w:sz="1"/>
              <w:right w:val="single" w:color="FADA9E" w:sz="1"/>
            </w:tcBorders>
            <w:shd w:fill="FADA9E" w:val="clear"/>
            <w:tcMar>
              <w:top w:type="dxa" w:w="80"/>
              <w:left w:type="dxa" w:w="120"/>
              <w:bottom w:type="dxa" w:w="80"/>
              <w:right w:type="dxa" w:w="120"/>
            </w:tcMar>
          </w:tcPr>
          <w:p>
            <w:pPr>
              <w:spacing w:after="40" w:before="40"/>
            </w:pPr>
            <w:r>
              <w:rPr>
                <w:rFonts w:ascii="Arial" w:cs="Arial" w:eastAsia="Arial" w:hAnsi="Arial"/>
                <w:b/>
                <w:bCs/>
                <w:color w:val="8B4500"/>
                <w:sz w:val="19"/>
                <w:szCs w:val="19"/>
              </w:rPr>
              <w:t xml:space="preserve">HYB-03</w:t>
            </w:r>
          </w:p>
        </w:tc>
        <w:tc>
          <w:tcPr>
            <w:tcW w:type="dxa" w:w="1680"/>
            <w:tcBorders>
              <w:top w:val="single" w:color="FADA9E" w:sz="1"/>
              <w:left w:val="single" w:color="FADA9E" w:sz="1"/>
              <w:bottom w:val="single" w:color="FADA9E" w:sz="1"/>
              <w:right w:val="single" w:color="FADA9E" w:sz="1"/>
            </w:tcBorders>
            <w:shd w:fill="FDEBD0" w:val="clear"/>
            <w:tcMar>
              <w:top w:type="dxa" w:w="80"/>
              <w:left w:type="dxa" w:w="120"/>
              <w:bottom w:type="dxa" w:w="80"/>
              <w:right w:type="dxa" w:w="120"/>
            </w:tcMar>
          </w:tcPr>
          <w:p>
            <w:pPr>
              <w:spacing w:after="40" w:before="40"/>
            </w:pPr>
            <w:r>
              <w:rPr>
                <w:rFonts w:ascii="Arial" w:cs="Arial" w:eastAsia="Arial" w:hAnsi="Arial"/>
                <w:b w:val="false"/>
                <w:bCs w:val="false"/>
                <w:color w:val="3B2005"/>
                <w:sz w:val="19"/>
                <w:szCs w:val="19"/>
              </w:rPr>
              <w:t xml:space="preserve">25–80%/trade</w:t>
            </w:r>
          </w:p>
        </w:tc>
        <w:tc>
          <w:tcPr>
            <w:tcW w:type="dxa" w:w="2040"/>
            <w:tcBorders>
              <w:top w:val="single" w:color="FADA9E" w:sz="1"/>
              <w:left w:val="single" w:color="FADA9E" w:sz="1"/>
              <w:bottom w:val="single" w:color="FADA9E" w:sz="1"/>
              <w:right w:val="single" w:color="FADA9E" w:sz="1"/>
            </w:tcBorders>
            <w:shd w:fill="FEE2E2" w:val="clear"/>
            <w:tcMar>
              <w:top w:type="dxa" w:w="80"/>
              <w:left w:type="dxa" w:w="120"/>
              <w:bottom w:type="dxa" w:w="80"/>
              <w:right w:type="dxa" w:w="120"/>
            </w:tcMar>
          </w:tcPr>
          <w:p>
            <w:pPr>
              <w:spacing w:after="40" w:before="40"/>
            </w:pPr>
            <w:r>
              <w:rPr>
                <w:rFonts w:ascii="Arial" w:cs="Arial" w:eastAsia="Arial" w:hAnsi="Arial"/>
                <w:b/>
                <w:bCs/>
                <w:color w:val="991B1B"/>
                <w:sz w:val="19"/>
                <w:szCs w:val="19"/>
              </w:rPr>
              <w:t xml:space="preserve">~35% false positives</w:t>
            </w:r>
          </w:p>
        </w:tc>
        <w:tc>
          <w:tcPr>
            <w:tcW w:type="dxa" w:w="2040"/>
            <w:tcBorders>
              <w:top w:val="single" w:color="FADA9E" w:sz="1"/>
              <w:left w:val="single" w:color="FADA9E" w:sz="1"/>
              <w:bottom w:val="single" w:color="FADA9E" w:sz="1"/>
              <w:right w:val="single" w:color="FADA9E" w:sz="1"/>
            </w:tcBorders>
            <w:shd w:fill="FEF9C3" w:val="clear"/>
            <w:tcMar>
              <w:top w:type="dxa" w:w="80"/>
              <w:left w:type="dxa" w:w="120"/>
              <w:bottom w:type="dxa" w:w="80"/>
              <w:right w:type="dxa" w:w="120"/>
            </w:tcMar>
          </w:tcPr>
          <w:p>
            <w:pPr>
              <w:spacing w:after="40" w:before="40"/>
            </w:pPr>
            <w:r>
              <w:rPr>
                <w:rFonts w:ascii="Arial" w:cs="Arial" w:eastAsia="Arial" w:hAnsi="Arial"/>
                <w:b w:val="false"/>
                <w:bCs w:val="false"/>
                <w:color w:val="854D0E"/>
                <w:sz w:val="19"/>
                <w:szCs w:val="19"/>
              </w:rPr>
              <w:t xml:space="preserve">-70% trade frequency</w:t>
            </w:r>
          </w:p>
        </w:tc>
        <w:tc>
          <w:tcPr>
            <w:tcW w:type="dxa" w:w="2160"/>
            <w:tcBorders>
              <w:top w:val="single" w:color="FADA9E" w:sz="1"/>
              <w:left w:val="single" w:color="FADA9E" w:sz="1"/>
              <w:bottom w:val="single" w:color="FADA9E" w:sz="1"/>
              <w:right w:val="single" w:color="FADA9E" w:sz="1"/>
            </w:tcBorders>
            <w:shd w:fill="D1FAE5" w:val="clear"/>
            <w:tcMar>
              <w:top w:type="dxa" w:w="80"/>
              <w:left w:type="dxa" w:w="120"/>
              <w:bottom w:type="dxa" w:w="80"/>
              <w:right w:type="dxa" w:w="120"/>
            </w:tcMar>
          </w:tcPr>
          <w:p>
            <w:pPr>
              <w:spacing w:after="40" w:before="40"/>
            </w:pPr>
            <w:r>
              <w:rPr>
                <w:rFonts w:ascii="Arial" w:cs="Arial" w:eastAsia="Arial" w:hAnsi="Arial"/>
                <w:b/>
                <w:bCs/>
                <w:color w:val="065F46"/>
                <w:sz w:val="19"/>
                <w:szCs w:val="19"/>
              </w:rPr>
              <w:t xml:space="preserve">+12–15pp win rate</w:t>
            </w:r>
          </w:p>
        </w:tc>
      </w:tr>
      <w:tr>
        <w:tc>
          <w:tcPr>
            <w:tcW w:type="dxa" w:w="1440"/>
            <w:tcBorders>
              <w:top w:val="single" w:color="FADA9E" w:sz="1"/>
              <w:left w:val="single" w:color="FADA9E" w:sz="1"/>
              <w:bottom w:val="single" w:color="FADA9E" w:sz="1"/>
              <w:right w:val="single" w:color="FADA9E" w:sz="1"/>
            </w:tcBorders>
            <w:shd w:fill="FADA9E" w:val="clear"/>
            <w:tcMar>
              <w:top w:type="dxa" w:w="80"/>
              <w:left w:type="dxa" w:w="120"/>
              <w:bottom w:type="dxa" w:w="80"/>
              <w:right w:type="dxa" w:w="120"/>
            </w:tcMar>
          </w:tcPr>
          <w:p>
            <w:pPr>
              <w:spacing w:after="40" w:before="40"/>
            </w:pPr>
            <w:r>
              <w:rPr>
                <w:rFonts w:ascii="Arial" w:cs="Arial" w:eastAsia="Arial" w:hAnsi="Arial"/>
                <w:b/>
                <w:bCs/>
                <w:color w:val="8B4500"/>
                <w:sz w:val="19"/>
                <w:szCs w:val="19"/>
              </w:rPr>
              <w:t xml:space="preserve">HYB-04</w:t>
            </w:r>
          </w:p>
        </w:tc>
        <w:tc>
          <w:tcPr>
            <w:tcW w:type="dxa" w:w="1680"/>
            <w:tcBorders>
              <w:top w:val="single" w:color="FADA9E" w:sz="1"/>
              <w:left w:val="single" w:color="FADA9E" w:sz="1"/>
              <w:bottom w:val="single" w:color="FADA9E" w:sz="1"/>
              <w:right w:val="single" w:color="FADA9E" w:sz="1"/>
            </w:tcBorders>
            <w:shd w:fill="FEF3E2" w:val="clear"/>
            <w:tcMar>
              <w:top w:type="dxa" w:w="80"/>
              <w:left w:type="dxa" w:w="120"/>
              <w:bottom w:type="dxa" w:w="80"/>
              <w:right w:type="dxa" w:w="120"/>
            </w:tcMar>
          </w:tcPr>
          <w:p>
            <w:pPr>
              <w:spacing w:after="40" w:before="40"/>
            </w:pPr>
            <w:r>
              <w:rPr>
                <w:rFonts w:ascii="Arial" w:cs="Arial" w:eastAsia="Arial" w:hAnsi="Arial"/>
                <w:b w:val="false"/>
                <w:bCs w:val="false"/>
                <w:color w:val="3B2005"/>
                <w:sz w:val="19"/>
                <w:szCs w:val="19"/>
              </w:rPr>
              <w:t xml:space="preserve">50–200%/trade</w:t>
            </w:r>
          </w:p>
        </w:tc>
        <w:tc>
          <w:tcPr>
            <w:tcW w:type="dxa" w:w="2040"/>
            <w:tcBorders>
              <w:top w:val="single" w:color="FADA9E" w:sz="1"/>
              <w:left w:val="single" w:color="FADA9E" w:sz="1"/>
              <w:bottom w:val="single" w:color="FADA9E" w:sz="1"/>
              <w:right w:val="single" w:color="FADA9E" w:sz="1"/>
            </w:tcBorders>
            <w:shd w:fill="FEE2E2" w:val="clear"/>
            <w:tcMar>
              <w:top w:type="dxa" w:w="80"/>
              <w:left w:type="dxa" w:w="120"/>
              <w:bottom w:type="dxa" w:w="80"/>
              <w:right w:type="dxa" w:w="120"/>
            </w:tcMar>
          </w:tcPr>
          <w:p>
            <w:pPr>
              <w:spacing w:after="40" w:before="40"/>
            </w:pPr>
            <w:r>
              <w:rPr>
                <w:rFonts w:ascii="Arial" w:cs="Arial" w:eastAsia="Arial" w:hAnsi="Arial"/>
                <w:b/>
                <w:bCs/>
                <w:color w:val="991B1B"/>
                <w:sz w:val="19"/>
                <w:szCs w:val="19"/>
              </w:rPr>
              <w:t xml:space="preserve">Blind whale-following risk</w:t>
            </w:r>
          </w:p>
        </w:tc>
        <w:tc>
          <w:tcPr>
            <w:tcW w:type="dxa" w:w="2040"/>
            <w:tcBorders>
              <w:top w:val="single" w:color="FADA9E" w:sz="1"/>
              <w:left w:val="single" w:color="FADA9E" w:sz="1"/>
              <w:bottom w:val="single" w:color="FADA9E" w:sz="1"/>
              <w:right w:val="single" w:color="FADA9E" w:sz="1"/>
            </w:tcBorders>
            <w:shd w:fill="FEF9C3" w:val="clear"/>
            <w:tcMar>
              <w:top w:type="dxa" w:w="80"/>
              <w:left w:type="dxa" w:w="120"/>
              <w:bottom w:type="dxa" w:w="80"/>
              <w:right w:type="dxa" w:w="120"/>
            </w:tcMar>
          </w:tcPr>
          <w:p>
            <w:pPr>
              <w:spacing w:after="40" w:before="40"/>
            </w:pPr>
            <w:r>
              <w:rPr>
                <w:rFonts w:ascii="Arial" w:cs="Arial" w:eastAsia="Arial" w:hAnsi="Arial"/>
                <w:b w:val="false"/>
                <w:bCs w:val="false"/>
                <w:color w:val="854D0E"/>
                <w:sz w:val="19"/>
                <w:szCs w:val="19"/>
              </w:rPr>
              <w:t xml:space="preserve">-20% trade frequency</w:t>
            </w:r>
          </w:p>
        </w:tc>
        <w:tc>
          <w:tcPr>
            <w:tcW w:type="dxa" w:w="2160"/>
            <w:tcBorders>
              <w:top w:val="single" w:color="FADA9E" w:sz="1"/>
              <w:left w:val="single" w:color="FADA9E" w:sz="1"/>
              <w:bottom w:val="single" w:color="FADA9E" w:sz="1"/>
              <w:right w:val="single" w:color="FADA9E" w:sz="1"/>
            </w:tcBorders>
            <w:shd w:fill="D1FAE5" w:val="clear"/>
            <w:tcMar>
              <w:top w:type="dxa" w:w="80"/>
              <w:left w:type="dxa" w:w="120"/>
              <w:bottom w:type="dxa" w:w="80"/>
              <w:right w:type="dxa" w:w="120"/>
            </w:tcMar>
          </w:tcPr>
          <w:p>
            <w:pPr>
              <w:spacing w:after="40" w:before="40"/>
            </w:pPr>
            <w:r>
              <w:rPr>
                <w:rFonts w:ascii="Arial" w:cs="Arial" w:eastAsia="Arial" w:hAnsi="Arial"/>
                <w:b/>
                <w:bCs/>
                <w:color w:val="065F46"/>
                <w:sz w:val="19"/>
                <w:szCs w:val="19"/>
              </w:rPr>
              <w:t xml:space="preserve">+8–10pp win rate</w:t>
            </w:r>
          </w:p>
        </w:tc>
      </w:tr>
      <w:tr>
        <w:tc>
          <w:tcPr>
            <w:tcW w:type="dxa" w:w="1440"/>
            <w:tcBorders>
              <w:top w:val="single" w:color="FADA9E" w:sz="1"/>
              <w:left w:val="single" w:color="FADA9E" w:sz="1"/>
              <w:bottom w:val="single" w:color="FADA9E" w:sz="1"/>
              <w:right w:val="single" w:color="FADA9E" w:sz="1"/>
            </w:tcBorders>
            <w:shd w:fill="FADA9E" w:val="clear"/>
            <w:tcMar>
              <w:top w:type="dxa" w:w="80"/>
              <w:left w:type="dxa" w:w="120"/>
              <w:bottom w:type="dxa" w:w="80"/>
              <w:right w:type="dxa" w:w="120"/>
            </w:tcMar>
          </w:tcPr>
          <w:p>
            <w:pPr>
              <w:spacing w:after="40" w:before="40"/>
            </w:pPr>
            <w:r>
              <w:rPr>
                <w:rFonts w:ascii="Arial" w:cs="Arial" w:eastAsia="Arial" w:hAnsi="Arial"/>
                <w:b/>
                <w:bCs/>
                <w:color w:val="8B4500"/>
                <w:sz w:val="19"/>
                <w:szCs w:val="19"/>
              </w:rPr>
              <w:t xml:space="preserve">HYB-05</w:t>
            </w:r>
          </w:p>
        </w:tc>
        <w:tc>
          <w:tcPr>
            <w:tcW w:type="dxa" w:w="1680"/>
            <w:tcBorders>
              <w:top w:val="single" w:color="FADA9E" w:sz="1"/>
              <w:left w:val="single" w:color="FADA9E" w:sz="1"/>
              <w:bottom w:val="single" w:color="FADA9E" w:sz="1"/>
              <w:right w:val="single" w:color="FADA9E" w:sz="1"/>
            </w:tcBorders>
            <w:shd w:fill="FDEBD0" w:val="clear"/>
            <w:tcMar>
              <w:top w:type="dxa" w:w="80"/>
              <w:left w:type="dxa" w:w="120"/>
              <w:bottom w:type="dxa" w:w="80"/>
              <w:right w:type="dxa" w:w="120"/>
            </w:tcMar>
          </w:tcPr>
          <w:p>
            <w:pPr>
              <w:spacing w:after="40" w:before="40"/>
            </w:pPr>
            <w:r>
              <w:rPr>
                <w:rFonts w:ascii="Arial" w:cs="Arial" w:eastAsia="Arial" w:hAnsi="Arial"/>
                <w:b w:val="false"/>
                <w:bCs w:val="false"/>
                <w:color w:val="3B2005"/>
                <w:sz w:val="19"/>
                <w:szCs w:val="19"/>
              </w:rPr>
              <w:t xml:space="preserve">12.1x in 12mo</w:t>
            </w:r>
          </w:p>
        </w:tc>
        <w:tc>
          <w:tcPr>
            <w:tcW w:type="dxa" w:w="2040"/>
            <w:tcBorders>
              <w:top w:val="single" w:color="FADA9E" w:sz="1"/>
              <w:left w:val="single" w:color="FADA9E" w:sz="1"/>
              <w:bottom w:val="single" w:color="FADA9E" w:sz="1"/>
              <w:right w:val="single" w:color="FADA9E" w:sz="1"/>
            </w:tcBorders>
            <w:shd w:fill="FDEBD0" w:val="clear"/>
            <w:tcMar>
              <w:top w:type="dxa" w:w="80"/>
              <w:left w:type="dxa" w:w="120"/>
              <w:bottom w:type="dxa" w:w="80"/>
              <w:right w:type="dxa" w:w="120"/>
            </w:tcMar>
          </w:tcPr>
          <w:p>
            <w:pPr>
              <w:spacing w:after="40" w:before="40"/>
            </w:pPr>
            <w:r>
              <w:rPr>
                <w:rFonts w:ascii="Arial" w:cs="Arial" w:eastAsia="Arial" w:hAnsi="Arial"/>
                <w:b w:val="false"/>
                <w:bCs w:val="false"/>
                <w:color w:val="3B2005"/>
                <w:sz w:val="19"/>
                <w:szCs w:val="19"/>
              </w:rPr>
              <w:t xml:space="preserve">Suboptimal fixed-market cycling</w:t>
            </w:r>
          </w:p>
        </w:tc>
        <w:tc>
          <w:tcPr>
            <w:tcW w:type="dxa" w:w="2040"/>
            <w:tcBorders>
              <w:top w:val="single" w:color="FADA9E" w:sz="1"/>
              <w:left w:val="single" w:color="FADA9E" w:sz="1"/>
              <w:bottom w:val="single" w:color="FADA9E" w:sz="1"/>
              <w:right w:val="single" w:color="FADA9E" w:sz="1"/>
            </w:tcBorders>
            <w:shd w:fill="D1FAE5" w:val="clear"/>
            <w:tcMar>
              <w:top w:type="dxa" w:w="80"/>
              <w:left w:type="dxa" w:w="120"/>
              <w:bottom w:type="dxa" w:w="80"/>
              <w:right w:type="dxa" w:w="120"/>
            </w:tcMar>
          </w:tcPr>
          <w:p>
            <w:pPr>
              <w:spacing w:after="40" w:before="40"/>
            </w:pPr>
            <w:r>
              <w:rPr>
                <w:rFonts w:ascii="Arial" w:cs="Arial" w:eastAsia="Arial" w:hAnsi="Arial"/>
                <w:b/>
                <w:bCs/>
                <w:color w:val="065F46"/>
                <w:sz w:val="19"/>
                <w:szCs w:val="19"/>
              </w:rPr>
              <w:t xml:space="preserve">+20–40% ROI per cycle</w:t>
            </w:r>
          </w:p>
        </w:tc>
        <w:tc>
          <w:tcPr>
            <w:tcW w:type="dxa" w:w="2160"/>
            <w:tcBorders>
              <w:top w:val="single" w:color="FADA9E" w:sz="1"/>
              <w:left w:val="single" w:color="FADA9E" w:sz="1"/>
              <w:bottom w:val="single" w:color="FADA9E" w:sz="1"/>
              <w:right w:val="single" w:color="FADA9E" w:sz="1"/>
            </w:tcBorders>
            <w:shd w:fill="D1FAE5" w:val="clear"/>
            <w:tcMar>
              <w:top w:type="dxa" w:w="80"/>
              <w:left w:type="dxa" w:w="120"/>
              <w:bottom w:type="dxa" w:w="80"/>
              <w:right w:type="dxa" w:w="120"/>
            </w:tcMar>
          </w:tcPr>
          <w:p>
            <w:pPr>
              <w:spacing w:after="40" w:before="40"/>
            </w:pPr>
            <w:r>
              <w:rPr>
                <w:rFonts w:ascii="Arial" w:cs="Arial" w:eastAsia="Arial" w:hAnsi="Arial"/>
                <w:b/>
                <w:bCs/>
                <w:color w:val="065F46"/>
                <w:sz w:val="19"/>
                <w:szCs w:val="19"/>
              </w:rPr>
              <w:t xml:space="preserve">+$4,300 on $1,000 start</w:t>
            </w:r>
          </w:p>
        </w:tc>
      </w:tr>
    </w:tbl>
    <w:p>
      <w:pPr>
        <w:spacing w:after="0" w:before="60"/>
      </w:pPr>
      <w:r>
        <w:t xml:space="preserve"/>
      </w:r>
    </w:p>
    <w:p>
      <w:pPr>
        <w:pStyle w:val="Heading3"/>
        <w:spacing w:after="80" w:before="180"/>
      </w:pPr>
      <w:r>
        <w:rPr>
          <w:rFonts w:ascii="Arial" w:cs="Arial" w:eastAsia="Arial" w:hAnsi="Arial"/>
          <w:b/>
          <w:bCs/>
          <w:color w:val="B85C00"/>
          <w:sz w:val="24"/>
          <w:szCs w:val="24"/>
        </w:rPr>
        <w:t xml:space="preserve">The three principles of hybrid risk management</w:t>
      </w:r>
    </w:p>
    <w:p>
      <w:pPr>
        <w:spacing w:after="60" w:before="60"/>
      </w:pPr>
      <w:r>
        <w:rPr>
          <w:rFonts w:ascii="Arial" w:cs="Arial" w:eastAsia="Arial" w:hAnsi="Arial"/>
          <w:b/>
          <w:bCs/>
          <w:color w:val="1C1007"/>
          <w:sz w:val="22"/>
          <w:szCs w:val="22"/>
        </w:rPr>
        <w:t xml:space="preserve">Principle 1 — Component failure inheritance: </w:t>
      </w:r>
      <w:r>
        <w:rPr>
          <w:rFonts w:ascii="Arial" w:cs="Arial" w:eastAsia="Arial" w:hAnsi="Arial"/>
          <w:color w:val="3B2005"/>
          <w:sz w:val="22"/>
          <w:szCs w:val="22"/>
        </w:rPr>
        <w:t xml:space="preserve">every hybrid strategy inherits the failure modes of its components that are not explicitly addressed by the combination. HYB-02 eliminates partial-execution risk but still inherits ARB-01's dependence on sufficient liquidity for full position entry. HYB-05 eliminates fixed-market suboptimality but still inherits MINT-06's 30-cycle operational discipline requirement. </w:t>
      </w:r>
      <w:r>
        <w:rPr>
          <w:rFonts w:ascii="Arial" w:cs="Arial" w:eastAsia="Arial" w:hAnsi="Arial"/>
          <w:b/>
          <w:bCs/>
          <w:color w:val="1C1007"/>
          <w:sz w:val="22"/>
          <w:szCs w:val="22"/>
        </w:rPr>
        <w:t xml:space="preserve">Know which risks are eliminated and which are inherited</w:t>
      </w:r>
      <w:r>
        <w:rPr>
          <w:rFonts w:ascii="Arial" w:cs="Arial" w:eastAsia="Arial" w:hAnsi="Arial"/>
          <w:color w:val="3B2005"/>
          <w:sz w:val="22"/>
          <w:szCs w:val="22"/>
        </w:rPr>
        <w:t xml:space="preserve"> before deploying.</w:t>
      </w:r>
    </w:p>
    <w:p>
      <w:pPr>
        <w:spacing w:after="0" w:before="40"/>
      </w:pPr>
      <w:r>
        <w:t xml:space="preserve"/>
      </w:r>
    </w:p>
    <w:p>
      <w:pPr>
        <w:spacing w:after="60" w:before="60"/>
      </w:pPr>
      <w:r>
        <w:rPr>
          <w:rFonts w:ascii="Arial" w:cs="Arial" w:eastAsia="Arial" w:hAnsi="Arial"/>
          <w:b/>
          <w:bCs/>
          <w:color w:val="1C1007"/>
          <w:sz w:val="22"/>
          <w:szCs w:val="22"/>
        </w:rPr>
        <w:t xml:space="preserve">Principle 2 — Synergy requires correct sequencing: </w:t>
      </w:r>
      <w:r>
        <w:rPr>
          <w:rFonts w:ascii="Arial" w:cs="Arial" w:eastAsia="Arial" w:hAnsi="Arial"/>
          <w:color w:val="3B2005"/>
          <w:sz w:val="22"/>
          <w:szCs w:val="22"/>
        </w:rPr>
        <w:t xml:space="preserve">in HYB-03 and HYB-04, the two signals must be checked in the correct order. Always compute the computationally cheaper signal first (TRADE-02 volume check is faster than IA-03 model evaluation). If the cheap signal fails, skip the expensive check. This preserves computational resources and ensures the system can monitor more markets in parallel.</w:t>
      </w:r>
    </w:p>
    <w:p>
      <w:pPr>
        <w:spacing w:after="0" w:before="40"/>
      </w:pPr>
      <w:r>
        <w:t xml:space="preserve"/>
      </w:r>
    </w:p>
    <w:p>
      <w:pPr>
        <w:spacing w:after="60" w:before="60"/>
      </w:pPr>
      <w:r>
        <w:rPr>
          <w:rFonts w:ascii="Arial" w:cs="Arial" w:eastAsia="Arial" w:hAnsi="Arial"/>
          <w:b/>
          <w:bCs/>
          <w:color w:val="1C1007"/>
          <w:sz w:val="22"/>
          <w:szCs w:val="22"/>
        </w:rPr>
        <w:t xml:space="preserve">Principle 3 — Minimum capital thresholds: </w:t>
      </w:r>
      <w:r>
        <w:rPr>
          <w:rFonts w:ascii="Arial" w:cs="Arial" w:eastAsia="Arial" w:hAnsi="Arial"/>
          <w:color w:val="3B2005"/>
          <w:sz w:val="22"/>
          <w:szCs w:val="22"/>
        </w:rPr>
        <w:t xml:space="preserve">HYB-02 is only cost-effective above $10,000. HYB-03 and HYB-04 require enough capital per trade to justify the reduced frequency — at $200 per trade, the fixed infrastructure costs dominate. HYB-05 compounds most powerfully from capital above $5,000, where the absolute dollar improvement per cycle is large enough to meaningfully accelerate the compounding curve. </w:t>
      </w:r>
      <w:r>
        <w:rPr>
          <w:rFonts w:ascii="Arial" w:cs="Arial" w:eastAsia="Arial" w:hAnsi="Arial"/>
          <w:b/>
          <w:bCs/>
          <w:color w:val="1C1007"/>
          <w:sz w:val="22"/>
          <w:szCs w:val="22"/>
        </w:rPr>
        <w:t xml:space="preserve">Match the hybrid strategy to your capital level.</w:t>
      </w:r>
      <w:r>
        <w:rPr>
          <w:rFonts w:ascii="Arial" w:cs="Arial" w:eastAsia="Arial" w:hAnsi="Arial"/>
          <w:color w:val="3B2005"/>
          <w:sz w:val="22"/>
          <w:szCs w:val="22"/>
        </w:rPr>
        <w:t xml:space="preserve"> Do not deploy HYB-02's hedging overhead on $500 arbitrage positions.</w:t>
      </w:r>
    </w:p>
    <w:p>
      <w:pPr>
        <w:spacing w:after="0" w:before="60"/>
      </w:pPr>
      <w:r>
        <w:t xml:space="preserve"/>
      </w:r>
    </w:p>
    <w:p>
      <w:pPr>
        <w:pBdr>
          <w:bottom w:val="single" w:color="C87137" w:sz="4" w:space="2"/>
        </w:pBdr>
        <w:spacing w:after="60" w:before="60"/>
      </w:pPr>
      <w:r>
        <w:t xml:space="preserve"/>
      </w:r>
    </w:p>
    <w:p>
      <w:pPr>
        <w:pStyle w:val="Heading2"/>
        <w:spacing w:after="100" w:before="240"/>
      </w:pPr>
      <w:r>
        <w:rPr>
          <w:rFonts w:ascii="Arial" w:cs="Arial" w:eastAsia="Arial" w:hAnsi="Arial"/>
          <w:b/>
          <w:bCs/>
          <w:color w:val="8B4500"/>
          <w:sz w:val="30"/>
          <w:szCs w:val="30"/>
        </w:rPr>
        <w:t xml:space="preserve">2.  Market Conditions: What Each Hybrid Strategy Requires</w:t>
      </w:r>
    </w:p>
    <w:p>
      <w:pPr>
        <w:spacing w:after="60" w:before="60"/>
      </w:pPr>
      <w:r>
        <w:rPr>
          <w:rFonts w:ascii="Arial" w:cs="Arial" w:eastAsia="Arial" w:hAnsi="Arial"/>
          <w:color w:val="3B2005"/>
          <w:sz w:val="22"/>
          <w:szCs w:val="22"/>
        </w:rPr>
        <w:t xml:space="preserve">Hybrid strategies are more demanding on market conditions than single-mechanism strategies because they must satisfy the requirements of </w:t>
      </w:r>
      <w:r>
        <w:rPr>
          <w:rFonts w:ascii="Arial" w:cs="Arial" w:eastAsia="Arial" w:hAnsi="Arial"/>
          <w:b/>
          <w:bCs/>
          <w:color w:val="1C1007"/>
          <w:sz w:val="22"/>
          <w:szCs w:val="22"/>
        </w:rPr>
        <w:t xml:space="preserve">all their component strategies simultaneously.</w:t>
      </w:r>
      <w:r>
        <w:rPr>
          <w:rFonts w:ascii="Arial" w:cs="Arial" w:eastAsia="Arial" w:hAnsi="Arial"/>
          <w:color w:val="3B2005"/>
          <w:sz w:val="22"/>
          <w:szCs w:val="22"/>
        </w:rPr>
        <w:t xml:space="preserve"> A market that is ideal for MINT-04 may be unsuitable for the HYB-01 sweet-spot positioning if its liquidity profile doesn't support mid-distance order fills. The table below defines the minimum combined conditions required for each hybrid to perform as designed.</w:t>
      </w:r>
    </w:p>
    <w:p>
      <w:pPr>
        <w:spacing w:after="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40"/>
        <w:gridCol w:w="1560"/>
        <w:gridCol w:w="2760"/>
        <w:gridCol w:w="2400"/>
      </w:tblGrid>
      <w:tr>
        <w:trPr>
          <w:tblHeader/>
        </w:trPr>
        <w:tc>
          <w:tcPr>
            <w:tcW w:type="dxa" w:w="1200"/>
            <w:tcBorders>
              <w:top w:val="single" w:color="FADA9E" w:sz="1"/>
              <w:left w:val="single" w:color="FADA9E" w:sz="1"/>
              <w:bottom w:val="single" w:color="FADA9E" w:sz="1"/>
              <w:right w:val="single" w:color="FADA9E" w:sz="1"/>
            </w:tcBorders>
            <w:shd w:fill="8B4500" w:val="clear"/>
            <w:tcMar>
              <w:top w:type="dxa" w:w="90"/>
              <w:left w:type="dxa" w:w="130"/>
              <w:bottom w:type="dxa" w:w="90"/>
              <w:right w:type="dxa" w:w="130"/>
            </w:tcMar>
          </w:tcPr>
          <w:p>
            <w:pPr>
              <w:spacing w:after="40" w:before="40"/>
            </w:pPr>
            <w:r>
              <w:rPr>
                <w:rFonts w:ascii="Arial" w:cs="Arial" w:eastAsia="Arial" w:hAnsi="Arial"/>
                <w:b/>
                <w:bCs/>
                <w:color w:val="FFFFFF"/>
                <w:sz w:val="19"/>
                <w:szCs w:val="19"/>
              </w:rPr>
              <w:t xml:space="preserve">Strategy</w:t>
            </w:r>
          </w:p>
        </w:tc>
        <w:tc>
          <w:tcPr>
            <w:tcW w:type="dxa" w:w="1440"/>
            <w:tcBorders>
              <w:top w:val="single" w:color="FADA9E" w:sz="1"/>
              <w:left w:val="single" w:color="FADA9E" w:sz="1"/>
              <w:bottom w:val="single" w:color="FADA9E" w:sz="1"/>
              <w:right w:val="single" w:color="FADA9E" w:sz="1"/>
            </w:tcBorders>
            <w:shd w:fill="8B4500" w:val="clear"/>
            <w:tcMar>
              <w:top w:type="dxa" w:w="90"/>
              <w:left w:type="dxa" w:w="130"/>
              <w:bottom w:type="dxa" w:w="90"/>
              <w:right w:type="dxa" w:w="130"/>
            </w:tcMar>
          </w:tcPr>
          <w:p>
            <w:pPr>
              <w:spacing w:after="40" w:before="40"/>
            </w:pPr>
            <w:r>
              <w:rPr>
                <w:rFonts w:ascii="Arial" w:cs="Arial" w:eastAsia="Arial" w:hAnsi="Arial"/>
                <w:b/>
                <w:bCs/>
                <w:color w:val="FFFFFF"/>
                <w:sz w:val="19"/>
                <w:szCs w:val="19"/>
              </w:rPr>
              <w:t xml:space="preserve">Liquidity</w:t>
            </w:r>
          </w:p>
        </w:tc>
        <w:tc>
          <w:tcPr>
            <w:tcW w:type="dxa" w:w="1560"/>
            <w:tcBorders>
              <w:top w:val="single" w:color="FADA9E" w:sz="1"/>
              <w:left w:val="single" w:color="FADA9E" w:sz="1"/>
              <w:bottom w:val="single" w:color="FADA9E" w:sz="1"/>
              <w:right w:val="single" w:color="FADA9E" w:sz="1"/>
            </w:tcBorders>
            <w:shd w:fill="8B4500" w:val="clear"/>
            <w:tcMar>
              <w:top w:type="dxa" w:w="90"/>
              <w:left w:type="dxa" w:w="130"/>
              <w:bottom w:type="dxa" w:w="90"/>
              <w:right w:type="dxa" w:w="130"/>
            </w:tcMar>
          </w:tcPr>
          <w:p>
            <w:pPr>
              <w:spacing w:after="40" w:before="40"/>
            </w:pPr>
            <w:r>
              <w:rPr>
                <w:rFonts w:ascii="Arial" w:cs="Arial" w:eastAsia="Arial" w:hAnsi="Arial"/>
                <w:b/>
                <w:bCs/>
                <w:color w:val="FFFFFF"/>
                <w:sz w:val="19"/>
                <w:szCs w:val="19"/>
              </w:rPr>
              <w:t xml:space="preserve">Timing</w:t>
            </w:r>
          </w:p>
        </w:tc>
        <w:tc>
          <w:tcPr>
            <w:tcW w:type="dxa" w:w="2760"/>
            <w:tcBorders>
              <w:top w:val="single" w:color="FADA9E" w:sz="1"/>
              <w:left w:val="single" w:color="FADA9E" w:sz="1"/>
              <w:bottom w:val="single" w:color="FADA9E" w:sz="1"/>
              <w:right w:val="single" w:color="FADA9E" w:sz="1"/>
            </w:tcBorders>
            <w:shd w:fill="8B4500" w:val="clear"/>
            <w:tcMar>
              <w:top w:type="dxa" w:w="90"/>
              <w:left w:type="dxa" w:w="130"/>
              <w:bottom w:type="dxa" w:w="90"/>
              <w:right w:type="dxa" w:w="130"/>
            </w:tcMar>
          </w:tcPr>
          <w:p>
            <w:pPr>
              <w:spacing w:after="40" w:before="40"/>
            </w:pPr>
            <w:r>
              <w:rPr>
                <w:rFonts w:ascii="Arial" w:cs="Arial" w:eastAsia="Arial" w:hAnsi="Arial"/>
                <w:b/>
                <w:bCs/>
                <w:color w:val="FFFFFF"/>
                <w:sz w:val="19"/>
                <w:szCs w:val="19"/>
              </w:rPr>
              <w:t xml:space="preserve">Specific Required Conditions</w:t>
            </w:r>
          </w:p>
        </w:tc>
        <w:tc>
          <w:tcPr>
            <w:tcW w:type="dxa" w:w="2400"/>
            <w:tcBorders>
              <w:top w:val="single" w:color="FADA9E" w:sz="1"/>
              <w:left w:val="single" w:color="FADA9E" w:sz="1"/>
              <w:bottom w:val="single" w:color="FADA9E" w:sz="1"/>
              <w:right w:val="single" w:color="FADA9E" w:sz="1"/>
            </w:tcBorders>
            <w:shd w:fill="8B4500" w:val="clear"/>
            <w:tcMar>
              <w:top w:type="dxa" w:w="90"/>
              <w:left w:type="dxa" w:w="130"/>
              <w:bottom w:type="dxa" w:w="90"/>
              <w:right w:type="dxa" w:w="130"/>
            </w:tcMar>
          </w:tcPr>
          <w:p>
            <w:pPr>
              <w:spacing w:after="40" w:before="40"/>
            </w:pPr>
            <w:r>
              <w:rPr>
                <w:rFonts w:ascii="Arial" w:cs="Arial" w:eastAsia="Arial" w:hAnsi="Arial"/>
                <w:b/>
                <w:bCs/>
                <w:color w:val="FFFFFF"/>
                <w:sz w:val="19"/>
                <w:szCs w:val="19"/>
              </w:rPr>
              <w:t xml:space="preserve">Disqualifying Conditions</w:t>
            </w:r>
          </w:p>
        </w:tc>
      </w:tr>
      <w:tr>
        <w:tc>
          <w:tcPr>
            <w:tcW w:type="dxa" w:w="1200"/>
            <w:tcBorders>
              <w:top w:val="single" w:color="FADA9E" w:sz="1"/>
              <w:left w:val="single" w:color="FADA9E" w:sz="1"/>
              <w:bottom w:val="single" w:color="FADA9E" w:sz="1"/>
              <w:right w:val="single" w:color="FADA9E" w:sz="1"/>
            </w:tcBorders>
            <w:shd w:fill="FADA9E" w:val="clear"/>
            <w:tcMar>
              <w:top w:type="dxa" w:w="80"/>
              <w:left w:type="dxa" w:w="120"/>
              <w:bottom w:type="dxa" w:w="80"/>
              <w:right w:type="dxa" w:w="120"/>
            </w:tcMar>
          </w:tcPr>
          <w:p>
            <w:pPr>
              <w:spacing w:after="40" w:before="40"/>
            </w:pPr>
            <w:r>
              <w:rPr>
                <w:rFonts w:ascii="Arial" w:cs="Arial" w:eastAsia="Arial" w:hAnsi="Arial"/>
                <w:b/>
                <w:bCs/>
                <w:color w:val="8B4500"/>
                <w:sz w:val="19"/>
                <w:szCs w:val="19"/>
              </w:rPr>
              <w:t xml:space="preserve">HYB-01</w:t>
            </w:r>
          </w:p>
        </w:tc>
        <w:tc>
          <w:tcPr>
            <w:tcW w:type="dxa" w:w="1440"/>
            <w:tcBorders>
              <w:top w:val="single" w:color="FADA9E" w:sz="1"/>
              <w:left w:val="single" w:color="FADA9E" w:sz="1"/>
              <w:bottom w:val="single" w:color="FADA9E" w:sz="1"/>
              <w:right w:val="single" w:color="FADA9E" w:sz="1"/>
            </w:tcBorders>
            <w:shd w:fill="FDEBD0" w:val="clear"/>
            <w:tcMar>
              <w:top w:type="dxa" w:w="80"/>
              <w:left w:type="dxa" w:w="120"/>
              <w:bottom w:type="dxa" w:w="80"/>
              <w:right w:type="dxa" w:w="120"/>
            </w:tcMar>
          </w:tcPr>
          <w:p>
            <w:pPr>
              <w:spacing w:after="40" w:before="40"/>
            </w:pPr>
            <w:r>
              <w:rPr>
                <w:rFonts w:ascii="Arial" w:cs="Arial" w:eastAsia="Arial" w:hAnsi="Arial"/>
                <w:b w:val="false"/>
                <w:bCs w:val="false"/>
                <w:color w:val="3B2005"/>
                <w:sz w:val="19"/>
                <w:szCs w:val="19"/>
              </w:rPr>
              <w:t xml:space="preserve">Medium ($2k–15k/day)</w:t>
            </w:r>
          </w:p>
        </w:tc>
        <w:tc>
          <w:tcPr>
            <w:tcW w:type="dxa" w:w="1560"/>
            <w:tcBorders>
              <w:top w:val="single" w:color="FADA9E" w:sz="1"/>
              <w:left w:val="single" w:color="FADA9E" w:sz="1"/>
              <w:bottom w:val="single" w:color="FADA9E" w:sz="1"/>
              <w:right w:val="single" w:color="FADA9E" w:sz="1"/>
            </w:tcBorders>
            <w:shd w:fill="FDEBD0" w:val="clear"/>
            <w:tcMar>
              <w:top w:type="dxa" w:w="80"/>
              <w:left w:type="dxa" w:w="120"/>
              <w:bottom w:type="dxa" w:w="80"/>
              <w:right w:type="dxa" w:w="120"/>
            </w:tcMar>
          </w:tcPr>
          <w:p>
            <w:pPr>
              <w:spacing w:after="40" w:before="40"/>
            </w:pPr>
            <w:r>
              <w:rPr>
                <w:rFonts w:ascii="Arial" w:cs="Arial" w:eastAsia="Arial" w:hAnsi="Arial"/>
                <w:b w:val="false"/>
                <w:bCs w:val="false"/>
                <w:color w:val="3B2005"/>
                <w:sz w:val="19"/>
                <w:szCs w:val="19"/>
              </w:rPr>
              <w:t xml:space="preserve">Ongoing — daily cycles</w:t>
            </w:r>
          </w:p>
        </w:tc>
        <w:tc>
          <w:tcPr>
            <w:tcW w:type="dxa" w:w="2760"/>
            <w:tcBorders>
              <w:top w:val="single" w:color="FADA9E" w:sz="1"/>
              <w:left w:val="single" w:color="FADA9E" w:sz="1"/>
              <w:bottom w:val="single" w:color="FADA9E" w:sz="1"/>
              <w:right w:val="single" w:color="FADA9E" w:sz="1"/>
            </w:tcBorders>
            <w:shd w:fill="FDEBD0" w:val="clear"/>
            <w:tcMar>
              <w:top w:type="dxa" w:w="80"/>
              <w:left w:type="dxa" w:w="120"/>
              <w:bottom w:type="dxa" w:w="80"/>
              <w:right w:type="dxa" w:w="120"/>
            </w:tcMar>
          </w:tcPr>
          <w:p>
            <w:pPr>
              <w:spacing w:after="40" w:before="40"/>
            </w:pPr>
            <w:r>
              <w:rPr>
                <w:rFonts w:ascii="Arial" w:cs="Arial" w:eastAsia="Arial" w:hAnsi="Arial"/>
                <w:b w:val="false"/>
                <w:bCs w:val="false"/>
                <w:color w:val="3B2005"/>
                <w:sz w:val="19"/>
                <w:szCs w:val="19"/>
              </w:rPr>
              <w:t xml:space="preserve">Spread YES+NO &gt; $1.004 after fees; stable midpoint</w:t>
            </w:r>
          </w:p>
        </w:tc>
        <w:tc>
          <w:tcPr>
            <w:tcW w:type="dxa" w:w="2400"/>
            <w:tcBorders>
              <w:top w:val="single" w:color="FADA9E" w:sz="1"/>
              <w:left w:val="single" w:color="FADA9E" w:sz="1"/>
              <w:bottom w:val="single" w:color="FADA9E" w:sz="1"/>
              <w:right w:val="single" w:color="FADA9E" w:sz="1"/>
            </w:tcBorders>
            <w:shd w:fill="FDEBD0" w:val="clear"/>
            <w:tcMar>
              <w:top w:type="dxa" w:w="80"/>
              <w:left w:type="dxa" w:w="120"/>
              <w:bottom w:type="dxa" w:w="80"/>
              <w:right w:type="dxa" w:w="120"/>
            </w:tcMar>
          </w:tcPr>
          <w:p>
            <w:pPr>
              <w:spacing w:after="40" w:before="40"/>
            </w:pPr>
            <w:r>
              <w:rPr>
                <w:rFonts w:ascii="Arial" w:cs="Arial" w:eastAsia="Arial" w:hAnsi="Arial"/>
                <w:b w:val="false"/>
                <w:bCs w:val="false"/>
                <w:color w:val="3B2005"/>
                <w:sz w:val="19"/>
                <w:szCs w:val="19"/>
              </w:rPr>
              <w:t xml:space="preserve">Very high OR very low volume; imminent resolution</w:t>
            </w:r>
          </w:p>
        </w:tc>
      </w:tr>
      <w:tr>
        <w:tc>
          <w:tcPr>
            <w:tcW w:type="dxa" w:w="1200"/>
            <w:tcBorders>
              <w:top w:val="single" w:color="FADA9E" w:sz="1"/>
              <w:left w:val="single" w:color="FADA9E" w:sz="1"/>
              <w:bottom w:val="single" w:color="FADA9E" w:sz="1"/>
              <w:right w:val="single" w:color="FADA9E" w:sz="1"/>
            </w:tcBorders>
            <w:shd w:fill="FADA9E" w:val="clear"/>
            <w:tcMar>
              <w:top w:type="dxa" w:w="80"/>
              <w:left w:type="dxa" w:w="120"/>
              <w:bottom w:type="dxa" w:w="80"/>
              <w:right w:type="dxa" w:w="120"/>
            </w:tcMar>
          </w:tcPr>
          <w:p>
            <w:pPr>
              <w:spacing w:after="40" w:before="40"/>
            </w:pPr>
            <w:r>
              <w:rPr>
                <w:rFonts w:ascii="Arial" w:cs="Arial" w:eastAsia="Arial" w:hAnsi="Arial"/>
                <w:b/>
                <w:bCs/>
                <w:color w:val="8B4500"/>
                <w:sz w:val="19"/>
                <w:szCs w:val="19"/>
              </w:rPr>
              <w:t xml:space="preserve">HYB-02</w:t>
            </w:r>
          </w:p>
        </w:tc>
        <w:tc>
          <w:tcPr>
            <w:tcW w:type="dxa" w:w="1440"/>
            <w:tcBorders>
              <w:top w:val="single" w:color="FADA9E" w:sz="1"/>
              <w:left w:val="single" w:color="FADA9E" w:sz="1"/>
              <w:bottom w:val="single" w:color="FADA9E" w:sz="1"/>
              <w:right w:val="single" w:color="FADA9E" w:sz="1"/>
            </w:tcBorders>
            <w:shd w:fill="FEF3E2" w:val="clear"/>
            <w:tcMar>
              <w:top w:type="dxa" w:w="80"/>
              <w:left w:type="dxa" w:w="120"/>
              <w:bottom w:type="dxa" w:w="80"/>
              <w:right w:type="dxa" w:w="120"/>
            </w:tcMar>
          </w:tcPr>
          <w:p>
            <w:pPr>
              <w:spacing w:after="40" w:before="40"/>
            </w:pPr>
            <w:r>
              <w:rPr>
                <w:rFonts w:ascii="Arial" w:cs="Arial" w:eastAsia="Arial" w:hAnsi="Arial"/>
                <w:b w:val="false"/>
                <w:bCs w:val="false"/>
                <w:color w:val="3B2005"/>
                <w:sz w:val="19"/>
                <w:szCs w:val="19"/>
              </w:rPr>
              <w:t xml:space="preserve">&gt;$5,000/day both sides</w:t>
            </w:r>
          </w:p>
        </w:tc>
        <w:tc>
          <w:tcPr>
            <w:tcW w:type="dxa" w:w="1560"/>
            <w:tcBorders>
              <w:top w:val="single" w:color="FADA9E" w:sz="1"/>
              <w:left w:val="single" w:color="FADA9E" w:sz="1"/>
              <w:bottom w:val="single" w:color="FADA9E" w:sz="1"/>
              <w:right w:val="single" w:color="FADA9E" w:sz="1"/>
            </w:tcBorders>
            <w:shd w:fill="FEF3E2" w:val="clear"/>
            <w:tcMar>
              <w:top w:type="dxa" w:w="80"/>
              <w:left w:type="dxa" w:w="120"/>
              <w:bottom w:type="dxa" w:w="80"/>
              <w:right w:type="dxa" w:w="120"/>
            </w:tcMar>
          </w:tcPr>
          <w:p>
            <w:pPr>
              <w:spacing w:after="40" w:before="40"/>
            </w:pPr>
            <w:r>
              <w:rPr>
                <w:rFonts w:ascii="Arial" w:cs="Arial" w:eastAsia="Arial" w:hAnsi="Arial"/>
                <w:b w:val="false"/>
                <w:bCs w:val="false"/>
                <w:color w:val="3B2005"/>
                <w:sz w:val="19"/>
                <w:szCs w:val="19"/>
              </w:rPr>
              <w:t xml:space="preserve">Execution window &lt;500ms</w:t>
            </w:r>
          </w:p>
        </w:tc>
        <w:tc>
          <w:tcPr>
            <w:tcW w:type="dxa" w:w="2760"/>
            <w:tcBorders>
              <w:top w:val="single" w:color="FADA9E" w:sz="1"/>
              <w:left w:val="single" w:color="FADA9E" w:sz="1"/>
              <w:bottom w:val="single" w:color="FADA9E" w:sz="1"/>
              <w:right w:val="single" w:color="FADA9E" w:sz="1"/>
            </w:tcBorders>
            <w:shd w:fill="FEF3E2" w:val="clear"/>
            <w:tcMar>
              <w:top w:type="dxa" w:w="80"/>
              <w:left w:type="dxa" w:w="120"/>
              <w:bottom w:type="dxa" w:w="80"/>
              <w:right w:type="dxa" w:w="120"/>
            </w:tcMar>
          </w:tcPr>
          <w:p>
            <w:pPr>
              <w:spacing w:after="40" w:before="40"/>
            </w:pPr>
            <w:r>
              <w:rPr>
                <w:rFonts w:ascii="Arial" w:cs="Arial" w:eastAsia="Arial" w:hAnsi="Arial"/>
                <w:b w:val="false"/>
                <w:bCs w:val="false"/>
                <w:color w:val="3B2005"/>
                <w:sz w:val="19"/>
                <w:szCs w:val="19"/>
              </w:rPr>
              <w:t xml:space="preserve">Sum YES+NO != $1.00 by &gt;0.5%; deep order book both sides</w:t>
            </w:r>
          </w:p>
        </w:tc>
        <w:tc>
          <w:tcPr>
            <w:tcW w:type="dxa" w:w="2400"/>
            <w:tcBorders>
              <w:top w:val="single" w:color="FADA9E" w:sz="1"/>
              <w:left w:val="single" w:color="FADA9E" w:sz="1"/>
              <w:bottom w:val="single" w:color="FADA9E" w:sz="1"/>
              <w:right w:val="single" w:color="FADA9E" w:sz="1"/>
            </w:tcBorders>
            <w:shd w:fill="FEF3E2" w:val="clear"/>
            <w:tcMar>
              <w:top w:type="dxa" w:w="80"/>
              <w:left w:type="dxa" w:w="120"/>
              <w:bottom w:type="dxa" w:w="80"/>
              <w:right w:type="dxa" w:w="120"/>
            </w:tcMar>
          </w:tcPr>
          <w:p>
            <w:pPr>
              <w:spacing w:after="40" w:before="40"/>
            </w:pPr>
            <w:r>
              <w:rPr>
                <w:rFonts w:ascii="Arial" w:cs="Arial" w:eastAsia="Arial" w:hAnsi="Arial"/>
                <w:b w:val="false"/>
                <w:bCs w:val="false"/>
                <w:color w:val="3B2005"/>
                <w:sz w:val="19"/>
                <w:szCs w:val="19"/>
              </w:rPr>
              <w:t xml:space="preserve">Thin order book; single-sided liquidity</w:t>
            </w:r>
          </w:p>
        </w:tc>
      </w:tr>
      <w:tr>
        <w:tc>
          <w:tcPr>
            <w:tcW w:type="dxa" w:w="1200"/>
            <w:tcBorders>
              <w:top w:val="single" w:color="FADA9E" w:sz="1"/>
              <w:left w:val="single" w:color="FADA9E" w:sz="1"/>
              <w:bottom w:val="single" w:color="FADA9E" w:sz="1"/>
              <w:right w:val="single" w:color="FADA9E" w:sz="1"/>
            </w:tcBorders>
            <w:shd w:fill="FADA9E" w:val="clear"/>
            <w:tcMar>
              <w:top w:type="dxa" w:w="80"/>
              <w:left w:type="dxa" w:w="120"/>
              <w:bottom w:type="dxa" w:w="80"/>
              <w:right w:type="dxa" w:w="120"/>
            </w:tcMar>
          </w:tcPr>
          <w:p>
            <w:pPr>
              <w:spacing w:after="40" w:before="40"/>
            </w:pPr>
            <w:r>
              <w:rPr>
                <w:rFonts w:ascii="Arial" w:cs="Arial" w:eastAsia="Arial" w:hAnsi="Arial"/>
                <w:b/>
                <w:bCs/>
                <w:color w:val="8B4500"/>
                <w:sz w:val="19"/>
                <w:szCs w:val="19"/>
              </w:rPr>
              <w:t xml:space="preserve">HYB-03</w:t>
            </w:r>
          </w:p>
        </w:tc>
        <w:tc>
          <w:tcPr>
            <w:tcW w:type="dxa" w:w="1440"/>
            <w:tcBorders>
              <w:top w:val="single" w:color="FADA9E" w:sz="1"/>
              <w:left w:val="single" w:color="FADA9E" w:sz="1"/>
              <w:bottom w:val="single" w:color="FADA9E" w:sz="1"/>
              <w:right w:val="single" w:color="FADA9E" w:sz="1"/>
            </w:tcBorders>
            <w:shd w:fill="FDEBD0" w:val="clear"/>
            <w:tcMar>
              <w:top w:type="dxa" w:w="80"/>
              <w:left w:type="dxa" w:w="120"/>
              <w:bottom w:type="dxa" w:w="80"/>
              <w:right w:type="dxa" w:w="120"/>
            </w:tcMar>
          </w:tcPr>
          <w:p>
            <w:pPr>
              <w:spacing w:after="40" w:before="40"/>
            </w:pPr>
            <w:r>
              <w:rPr>
                <w:rFonts w:ascii="Arial" w:cs="Arial" w:eastAsia="Arial" w:hAnsi="Arial"/>
                <w:b w:val="false"/>
                <w:bCs w:val="false"/>
                <w:color w:val="3B2005"/>
                <w:sz w:val="19"/>
                <w:szCs w:val="19"/>
              </w:rPr>
              <w:t xml:space="preserve">&gt;$3,000/day</w:t>
            </w:r>
          </w:p>
        </w:tc>
        <w:tc>
          <w:tcPr>
            <w:tcW w:type="dxa" w:w="1560"/>
            <w:tcBorders>
              <w:top w:val="single" w:color="FADA9E" w:sz="1"/>
              <w:left w:val="single" w:color="FADA9E" w:sz="1"/>
              <w:bottom w:val="single" w:color="FADA9E" w:sz="1"/>
              <w:right w:val="single" w:color="FADA9E" w:sz="1"/>
            </w:tcBorders>
            <w:shd w:fill="FDEBD0" w:val="clear"/>
            <w:tcMar>
              <w:top w:type="dxa" w:w="80"/>
              <w:left w:type="dxa" w:w="120"/>
              <w:bottom w:type="dxa" w:w="80"/>
              <w:right w:type="dxa" w:w="120"/>
            </w:tcMar>
          </w:tcPr>
          <w:p>
            <w:pPr>
              <w:spacing w:after="40" w:before="40"/>
            </w:pPr>
            <w:r>
              <w:rPr>
                <w:rFonts w:ascii="Arial" w:cs="Arial" w:eastAsia="Arial" w:hAnsi="Arial"/>
                <w:b w:val="false"/>
                <w:bCs w:val="false"/>
                <w:color w:val="3B2005"/>
                <w:sz w:val="19"/>
                <w:szCs w:val="19"/>
              </w:rPr>
              <w:t xml:space="preserve">4-hour coincidence window</w:t>
            </w:r>
          </w:p>
        </w:tc>
        <w:tc>
          <w:tcPr>
            <w:tcW w:type="dxa" w:w="2760"/>
            <w:tcBorders>
              <w:top w:val="single" w:color="FADA9E" w:sz="1"/>
              <w:left w:val="single" w:color="FADA9E" w:sz="1"/>
              <w:bottom w:val="single" w:color="FADA9E" w:sz="1"/>
              <w:right w:val="single" w:color="FADA9E" w:sz="1"/>
            </w:tcBorders>
            <w:shd w:fill="FDEBD0" w:val="clear"/>
            <w:tcMar>
              <w:top w:type="dxa" w:w="80"/>
              <w:left w:type="dxa" w:w="120"/>
              <w:bottom w:type="dxa" w:w="80"/>
              <w:right w:type="dxa" w:w="120"/>
            </w:tcMar>
          </w:tcPr>
          <w:p>
            <w:pPr>
              <w:spacing w:after="40" w:before="40"/>
            </w:pPr>
            <w:r>
              <w:rPr>
                <w:rFonts w:ascii="Arial" w:cs="Arial" w:eastAsia="Arial" w:hAnsi="Arial"/>
                <w:b w:val="false"/>
                <w:bCs w:val="false"/>
                <w:color w:val="3B2005"/>
                <w:sz w:val="19"/>
                <w:szCs w:val="19"/>
              </w:rPr>
              <w:t xml:space="preserve">IA-03 divergence &gt;5% AND TRADE-02 volume &gt;1.8x within 4h</w:t>
            </w:r>
          </w:p>
        </w:tc>
        <w:tc>
          <w:tcPr>
            <w:tcW w:type="dxa" w:w="2400"/>
            <w:tcBorders>
              <w:top w:val="single" w:color="FADA9E" w:sz="1"/>
              <w:left w:val="single" w:color="FADA9E" w:sz="1"/>
              <w:bottom w:val="single" w:color="FADA9E" w:sz="1"/>
              <w:right w:val="single" w:color="FADA9E" w:sz="1"/>
            </w:tcBorders>
            <w:shd w:fill="FDEBD0" w:val="clear"/>
            <w:tcMar>
              <w:top w:type="dxa" w:w="80"/>
              <w:left w:type="dxa" w:w="120"/>
              <w:bottom w:type="dxa" w:w="80"/>
              <w:right w:type="dxa" w:w="120"/>
            </w:tcMar>
          </w:tcPr>
          <w:p>
            <w:pPr>
              <w:spacing w:after="40" w:before="40"/>
            </w:pPr>
            <w:r>
              <w:rPr>
                <w:rFonts w:ascii="Arial" w:cs="Arial" w:eastAsia="Arial" w:hAnsi="Arial"/>
                <w:b w:val="false"/>
                <w:bCs w:val="false"/>
                <w:color w:val="3B2005"/>
                <w:sz w:val="19"/>
                <w:szCs w:val="19"/>
              </w:rPr>
              <w:t xml:space="preserve">Divergence without volume; volume without model divergence</w:t>
            </w:r>
          </w:p>
        </w:tc>
      </w:tr>
      <w:tr>
        <w:tc>
          <w:tcPr>
            <w:tcW w:type="dxa" w:w="1200"/>
            <w:tcBorders>
              <w:top w:val="single" w:color="FADA9E" w:sz="1"/>
              <w:left w:val="single" w:color="FADA9E" w:sz="1"/>
              <w:bottom w:val="single" w:color="FADA9E" w:sz="1"/>
              <w:right w:val="single" w:color="FADA9E" w:sz="1"/>
            </w:tcBorders>
            <w:shd w:fill="FADA9E" w:val="clear"/>
            <w:tcMar>
              <w:top w:type="dxa" w:w="80"/>
              <w:left w:type="dxa" w:w="120"/>
              <w:bottom w:type="dxa" w:w="80"/>
              <w:right w:type="dxa" w:w="120"/>
            </w:tcMar>
          </w:tcPr>
          <w:p>
            <w:pPr>
              <w:spacing w:after="40" w:before="40"/>
            </w:pPr>
            <w:r>
              <w:rPr>
                <w:rFonts w:ascii="Arial" w:cs="Arial" w:eastAsia="Arial" w:hAnsi="Arial"/>
                <w:b/>
                <w:bCs/>
                <w:color w:val="8B4500"/>
                <w:sz w:val="19"/>
                <w:szCs w:val="19"/>
              </w:rPr>
              <w:t xml:space="preserve">HYB-04</w:t>
            </w:r>
          </w:p>
        </w:tc>
        <w:tc>
          <w:tcPr>
            <w:tcW w:type="dxa" w:w="1440"/>
            <w:tcBorders>
              <w:top w:val="single" w:color="FADA9E" w:sz="1"/>
              <w:left w:val="single" w:color="FADA9E" w:sz="1"/>
              <w:bottom w:val="single" w:color="FADA9E" w:sz="1"/>
              <w:right w:val="single" w:color="FADA9E" w:sz="1"/>
            </w:tcBorders>
            <w:shd w:fill="FEF3E2" w:val="clear"/>
            <w:tcMar>
              <w:top w:type="dxa" w:w="80"/>
              <w:left w:type="dxa" w:w="120"/>
              <w:bottom w:type="dxa" w:w="80"/>
              <w:right w:type="dxa" w:w="120"/>
            </w:tcMar>
          </w:tcPr>
          <w:p>
            <w:pPr>
              <w:spacing w:after="40" w:before="40"/>
            </w:pPr>
            <w:r>
              <w:rPr>
                <w:rFonts w:ascii="Arial" w:cs="Arial" w:eastAsia="Arial" w:hAnsi="Arial"/>
                <w:b w:val="false"/>
                <w:bCs w:val="false"/>
                <w:color w:val="3B2005"/>
                <w:sz w:val="19"/>
                <w:szCs w:val="19"/>
              </w:rPr>
              <w:t xml:space="preserve">&gt;$2,000/day</w:t>
            </w:r>
          </w:p>
        </w:tc>
        <w:tc>
          <w:tcPr>
            <w:tcW w:type="dxa" w:w="1560"/>
            <w:tcBorders>
              <w:top w:val="single" w:color="FADA9E" w:sz="1"/>
              <w:left w:val="single" w:color="FADA9E" w:sz="1"/>
              <w:bottom w:val="single" w:color="FADA9E" w:sz="1"/>
              <w:right w:val="single" w:color="FADA9E" w:sz="1"/>
            </w:tcBorders>
            <w:shd w:fill="FEF3E2" w:val="clear"/>
            <w:tcMar>
              <w:top w:type="dxa" w:w="80"/>
              <w:left w:type="dxa" w:w="120"/>
              <w:bottom w:type="dxa" w:w="80"/>
              <w:right w:type="dxa" w:w="120"/>
            </w:tcMar>
          </w:tcPr>
          <w:p>
            <w:pPr>
              <w:spacing w:after="40" w:before="40"/>
            </w:pPr>
            <w:r>
              <w:rPr>
                <w:rFonts w:ascii="Arial" w:cs="Arial" w:eastAsia="Arial" w:hAnsi="Arial"/>
                <w:b w:val="false"/>
                <w:bCs w:val="false"/>
                <w:color w:val="3B2005"/>
                <w:sz w:val="19"/>
                <w:szCs w:val="19"/>
              </w:rPr>
              <w:t xml:space="preserve">Copy within 2 seconds</w:t>
            </w:r>
          </w:p>
        </w:tc>
        <w:tc>
          <w:tcPr>
            <w:tcW w:type="dxa" w:w="2760"/>
            <w:tcBorders>
              <w:top w:val="single" w:color="FADA9E" w:sz="1"/>
              <w:left w:val="single" w:color="FADA9E" w:sz="1"/>
              <w:bottom w:val="single" w:color="FADA9E" w:sz="1"/>
              <w:right w:val="single" w:color="FADA9E" w:sz="1"/>
            </w:tcBorders>
            <w:shd w:fill="FEF3E2" w:val="clear"/>
            <w:tcMar>
              <w:top w:type="dxa" w:w="80"/>
              <w:left w:type="dxa" w:w="120"/>
              <w:bottom w:type="dxa" w:w="80"/>
              <w:right w:type="dxa" w:w="120"/>
            </w:tcMar>
          </w:tcPr>
          <w:p>
            <w:pPr>
              <w:spacing w:after="40" w:before="40"/>
            </w:pPr>
            <w:r>
              <w:rPr>
                <w:rFonts w:ascii="Arial" w:cs="Arial" w:eastAsia="Arial" w:hAnsi="Arial"/>
                <w:b w:val="false"/>
                <w:bCs w:val="false"/>
                <w:color w:val="3B2005"/>
                <w:sz w:val="19"/>
                <w:szCs w:val="19"/>
              </w:rPr>
              <w:t xml:space="preserve">Whale size &gt;$500; IA-03 divergence &gt;3% in same direction</w:t>
            </w:r>
          </w:p>
        </w:tc>
        <w:tc>
          <w:tcPr>
            <w:tcW w:type="dxa" w:w="2400"/>
            <w:tcBorders>
              <w:top w:val="single" w:color="FADA9E" w:sz="1"/>
              <w:left w:val="single" w:color="FADA9E" w:sz="1"/>
              <w:bottom w:val="single" w:color="FADA9E" w:sz="1"/>
              <w:right w:val="single" w:color="FADA9E" w:sz="1"/>
            </w:tcBorders>
            <w:shd w:fill="FEF3E2" w:val="clear"/>
            <w:tcMar>
              <w:top w:type="dxa" w:w="80"/>
              <w:left w:type="dxa" w:w="120"/>
              <w:bottom w:type="dxa" w:w="80"/>
              <w:right w:type="dxa" w:w="120"/>
            </w:tcMar>
          </w:tcPr>
          <w:p>
            <w:pPr>
              <w:spacing w:after="40" w:before="40"/>
            </w:pPr>
            <w:r>
              <w:rPr>
                <w:rFonts w:ascii="Arial" w:cs="Arial" w:eastAsia="Arial" w:hAnsi="Arial"/>
                <w:b w:val="false"/>
                <w:bCs w:val="false"/>
                <w:color w:val="3B2005"/>
                <w:sz w:val="19"/>
                <w:szCs w:val="19"/>
              </w:rPr>
              <w:t xml:space="preserve">Whale direction vs model direction mismatch</w:t>
            </w:r>
          </w:p>
        </w:tc>
      </w:tr>
      <w:tr>
        <w:tc>
          <w:tcPr>
            <w:tcW w:type="dxa" w:w="1200"/>
            <w:tcBorders>
              <w:top w:val="single" w:color="FADA9E" w:sz="1"/>
              <w:left w:val="single" w:color="FADA9E" w:sz="1"/>
              <w:bottom w:val="single" w:color="FADA9E" w:sz="1"/>
              <w:right w:val="single" w:color="FADA9E" w:sz="1"/>
            </w:tcBorders>
            <w:shd w:fill="FADA9E" w:val="clear"/>
            <w:tcMar>
              <w:top w:type="dxa" w:w="80"/>
              <w:left w:type="dxa" w:w="120"/>
              <w:bottom w:type="dxa" w:w="80"/>
              <w:right w:type="dxa" w:w="120"/>
            </w:tcMar>
          </w:tcPr>
          <w:p>
            <w:pPr>
              <w:spacing w:after="40" w:before="40"/>
            </w:pPr>
            <w:r>
              <w:rPr>
                <w:rFonts w:ascii="Arial" w:cs="Arial" w:eastAsia="Arial" w:hAnsi="Arial"/>
                <w:b/>
                <w:bCs/>
                <w:color w:val="8B4500"/>
                <w:sz w:val="19"/>
                <w:szCs w:val="19"/>
              </w:rPr>
              <w:t xml:space="preserve">HYB-05</w:t>
            </w:r>
          </w:p>
        </w:tc>
        <w:tc>
          <w:tcPr>
            <w:tcW w:type="dxa" w:w="1440"/>
            <w:tcBorders>
              <w:top w:val="single" w:color="FADA9E" w:sz="1"/>
              <w:left w:val="single" w:color="FADA9E" w:sz="1"/>
              <w:bottom w:val="single" w:color="FADA9E" w:sz="1"/>
              <w:right w:val="single" w:color="FADA9E" w:sz="1"/>
            </w:tcBorders>
            <w:shd w:fill="FDEBD0" w:val="clear"/>
            <w:tcMar>
              <w:top w:type="dxa" w:w="80"/>
              <w:left w:type="dxa" w:w="120"/>
              <w:bottom w:type="dxa" w:w="80"/>
              <w:right w:type="dxa" w:w="120"/>
            </w:tcMar>
          </w:tcPr>
          <w:p>
            <w:pPr>
              <w:spacing w:after="40" w:before="40"/>
            </w:pPr>
            <w:r>
              <w:rPr>
                <w:rFonts w:ascii="Arial" w:cs="Arial" w:eastAsia="Arial" w:hAnsi="Arial"/>
                <w:b w:val="false"/>
                <w:bCs w:val="false"/>
                <w:color w:val="3B2005"/>
                <w:sz w:val="19"/>
                <w:szCs w:val="19"/>
              </w:rPr>
              <w:t xml:space="preserve">At least 1 market &gt;$2k/day</w:t>
            </w:r>
          </w:p>
        </w:tc>
        <w:tc>
          <w:tcPr>
            <w:tcW w:type="dxa" w:w="1560"/>
            <w:tcBorders>
              <w:top w:val="single" w:color="FADA9E" w:sz="1"/>
              <w:left w:val="single" w:color="FADA9E" w:sz="1"/>
              <w:bottom w:val="single" w:color="FADA9E" w:sz="1"/>
              <w:right w:val="single" w:color="FADA9E" w:sz="1"/>
            </w:tcBorders>
            <w:shd w:fill="FDEBD0" w:val="clear"/>
            <w:tcMar>
              <w:top w:type="dxa" w:w="80"/>
              <w:left w:type="dxa" w:w="120"/>
              <w:bottom w:type="dxa" w:w="80"/>
              <w:right w:type="dxa" w:w="120"/>
            </w:tcMar>
          </w:tcPr>
          <w:p>
            <w:pPr>
              <w:spacing w:after="40" w:before="40"/>
            </w:pPr>
            <w:r>
              <w:rPr>
                <w:rFonts w:ascii="Arial" w:cs="Arial" w:eastAsia="Arial" w:hAnsi="Arial"/>
                <w:b w:val="false"/>
                <w:bCs w:val="false"/>
                <w:color w:val="3B2005"/>
                <w:sz w:val="19"/>
                <w:szCs w:val="19"/>
              </w:rPr>
              <w:t xml:space="preserve">Daily 24h cycles</w:t>
            </w:r>
          </w:p>
        </w:tc>
        <w:tc>
          <w:tcPr>
            <w:tcW w:type="dxa" w:w="2760"/>
            <w:tcBorders>
              <w:top w:val="single" w:color="FADA9E" w:sz="1"/>
              <w:left w:val="single" w:color="FADA9E" w:sz="1"/>
              <w:bottom w:val="single" w:color="FADA9E" w:sz="1"/>
              <w:right w:val="single" w:color="FADA9E" w:sz="1"/>
            </w:tcBorders>
            <w:shd w:fill="FDEBD0" w:val="clear"/>
            <w:tcMar>
              <w:top w:type="dxa" w:w="80"/>
              <w:left w:type="dxa" w:w="120"/>
              <w:bottom w:type="dxa" w:w="80"/>
              <w:right w:type="dxa" w:w="120"/>
            </w:tcMar>
          </w:tcPr>
          <w:p>
            <w:pPr>
              <w:spacing w:after="40" w:before="40"/>
            </w:pPr>
            <w:r>
              <w:rPr>
                <w:rFonts w:ascii="Arial" w:cs="Arial" w:eastAsia="Arial" w:hAnsi="Arial"/>
                <w:b w:val="false"/>
                <w:bCs w:val="false"/>
                <w:color w:val="3B2005"/>
                <w:sz w:val="19"/>
                <w:szCs w:val="19"/>
              </w:rPr>
              <w:t xml:space="preserve">Minimum 3 qualifying markets in score ranking at all times</w:t>
            </w:r>
          </w:p>
        </w:tc>
        <w:tc>
          <w:tcPr>
            <w:tcW w:type="dxa" w:w="2400"/>
            <w:tcBorders>
              <w:top w:val="single" w:color="FADA9E" w:sz="1"/>
              <w:left w:val="single" w:color="FADA9E" w:sz="1"/>
              <w:bottom w:val="single" w:color="FADA9E" w:sz="1"/>
              <w:right w:val="single" w:color="FADA9E" w:sz="1"/>
            </w:tcBorders>
            <w:shd w:fill="FDEBD0" w:val="clear"/>
            <w:tcMar>
              <w:top w:type="dxa" w:w="80"/>
              <w:left w:type="dxa" w:w="120"/>
              <w:bottom w:type="dxa" w:w="80"/>
              <w:right w:type="dxa" w:w="120"/>
            </w:tcMar>
          </w:tcPr>
          <w:p>
            <w:pPr>
              <w:spacing w:after="40" w:before="40"/>
            </w:pPr>
            <w:r>
              <w:rPr>
                <w:rFonts w:ascii="Arial" w:cs="Arial" w:eastAsia="Arial" w:hAnsi="Arial"/>
                <w:b w:val="false"/>
                <w:bCs w:val="false"/>
                <w:color w:val="3B2005"/>
                <w:sz w:val="19"/>
                <w:szCs w:val="19"/>
              </w:rPr>
              <w:t xml:space="preserve">All 24 markets resolve within 72h; system downtime</w:t>
            </w:r>
          </w:p>
        </w:tc>
      </w:tr>
    </w:tbl>
    <w:p>
      <w:pPr>
        <w:spacing w:after="0" w:before="60"/>
      </w:pPr>
      <w:r>
        <w:t xml:space="preserve"/>
      </w:r>
    </w:p>
    <w:p>
      <w:pPr>
        <w:spacing w:after="60" w:before="60"/>
      </w:pPr>
      <w:r>
        <w:rPr>
          <w:rFonts w:ascii="Arial" w:cs="Arial" w:eastAsia="Arial" w:hAnsi="Arial"/>
          <w:b/>
          <w:bCs/>
          <w:color w:val="1C1007"/>
          <w:sz w:val="22"/>
          <w:szCs w:val="22"/>
        </w:rPr>
        <w:t xml:space="preserve">The unified selection framework: </w:t>
      </w:r>
      <w:r>
        <w:rPr>
          <w:rFonts w:ascii="Arial" w:cs="Arial" w:eastAsia="Arial" w:hAnsi="Arial"/>
          <w:color w:val="3B2005"/>
          <w:sz w:val="22"/>
          <w:szCs w:val="22"/>
        </w:rPr>
        <w:t xml:space="preserve">before deploying any hybrid strategy, run through this three-question checklist. (1) </w:t>
      </w:r>
      <w:r>
        <w:rPr>
          <w:rFonts w:ascii="Arial" w:cs="Arial" w:eastAsia="Arial" w:hAnsi="Arial"/>
          <w:b/>
          <w:bCs/>
          <w:color w:val="1C1007"/>
          <w:sz w:val="22"/>
          <w:szCs w:val="22"/>
        </w:rPr>
        <w:t xml:space="preserve">Do all component conditions apply simultaneously</w:t>
      </w:r>
      <w:r>
        <w:rPr>
          <w:rFonts w:ascii="Arial" w:cs="Arial" w:eastAsia="Arial" w:hAnsi="Arial"/>
          <w:color w:val="3B2005"/>
          <w:sz w:val="22"/>
          <w:szCs w:val="22"/>
        </w:rPr>
        <w:t xml:space="preserve"> in the target market right now — not yesterday, not "usually"? (2) </w:t>
      </w:r>
      <w:r>
        <w:rPr>
          <w:rFonts w:ascii="Arial" w:cs="Arial" w:eastAsia="Arial" w:hAnsi="Arial"/>
          <w:b/>
          <w:bCs/>
          <w:color w:val="1C1007"/>
          <w:sz w:val="22"/>
          <w:szCs w:val="22"/>
        </w:rPr>
        <w:t xml:space="preserve">Is the capital deployed above the minimum threshold</w:t>
      </w:r>
      <w:r>
        <w:rPr>
          <w:rFonts w:ascii="Arial" w:cs="Arial" w:eastAsia="Arial" w:hAnsi="Arial"/>
          <w:color w:val="3B2005"/>
          <w:sz w:val="22"/>
          <w:szCs w:val="22"/>
        </w:rPr>
        <w:t xml:space="preserve"> for this strategy's synergy to be cost-effective? (3) </w:t>
      </w:r>
      <w:r>
        <w:rPr>
          <w:rFonts w:ascii="Arial" w:cs="Arial" w:eastAsia="Arial" w:hAnsi="Arial"/>
          <w:b/>
          <w:bCs/>
          <w:color w:val="1C1007"/>
          <w:sz w:val="22"/>
          <w:szCs w:val="22"/>
        </w:rPr>
        <w:t xml:space="preserve">Is the failure mode being eliminated</w:t>
      </w:r>
      <w:r>
        <w:rPr>
          <w:rFonts w:ascii="Arial" w:cs="Arial" w:eastAsia="Arial" w:hAnsi="Arial"/>
          <w:color w:val="3B2005"/>
          <w:sz w:val="22"/>
          <w:szCs w:val="22"/>
        </w:rPr>
        <w:t xml:space="preserve"> actually present in current market conditions — or is the hybrid adding complexity without adding protection? If the answer to any of these is no, the pure component strategy may serve better than the hybrid. Hybridization is a tool, not a default.</w:t>
      </w:r>
    </w:p>
    <w:p>
      <w:pPr>
        <w:spacing w:after="0" w:before="50"/>
      </w:pPr>
      <w:r>
        <w:t xml:space="preserve"/>
      </w:r>
    </w:p>
    <w:p>
      <w:pPr>
        <w:spacing w:after="60" w:before="60"/>
      </w:pPr>
      <w:r>
        <w:rPr>
          <w:rFonts w:ascii="Arial" w:cs="Arial" w:eastAsia="Arial" w:hAnsi="Arial"/>
          <w:color w:val="3B2005"/>
          <w:sz w:val="22"/>
          <w:szCs w:val="22"/>
        </w:rPr>
        <w:t xml:space="preserve">The final insight of Group 6: </w:t>
      </w:r>
      <w:r>
        <w:rPr>
          <w:rFonts w:ascii="Arial" w:cs="Arial" w:eastAsia="Arial" w:hAnsi="Arial"/>
          <w:b/>
          <w:bCs/>
          <w:color w:val="1C1007"/>
          <w:sz w:val="22"/>
          <w:szCs w:val="22"/>
        </w:rPr>
        <w:t xml:space="preserve">the most powerful hybrid strategies are not the most complex ones</w:t>
      </w:r>
      <w:r>
        <w:rPr>
          <w:rFonts w:ascii="Arial" w:cs="Arial" w:eastAsia="Arial" w:hAnsi="Arial"/>
          <w:color w:val="3B2005"/>
          <w:sz w:val="22"/>
          <w:szCs w:val="22"/>
        </w:rPr>
        <w:t xml:space="preserve"> — they are the ones that address the most impactful failure mode of the most reliable underlying strategy. HYB-02 takes the catalog's most reliable strategy (87% ARB-01) and eliminates its only structural weakness. HYB-05 takes the catalog's most powerful compounder (MINT-06) and removes its single operational constraint. </w:t>
      </w:r>
      <w:r>
        <w:rPr>
          <w:rFonts w:ascii="Arial" w:cs="Arial" w:eastAsia="Arial" w:hAnsi="Arial"/>
          <w:b/>
          <w:bCs/>
          <w:color w:val="1C1007"/>
          <w:sz w:val="22"/>
          <w:szCs w:val="22"/>
        </w:rPr>
        <w:t xml:space="preserve">Simple combinations that fix critical weaknesses outperform elaborate combinations that optimize marginal gains.</w:t>
      </w:r>
      <w:r>
        <w:rPr>
          <w:rFonts w:ascii="Arial" w:cs="Arial" w:eastAsia="Arial" w:hAnsi="Arial"/>
          <w:color w:val="3B2005"/>
          <w:sz w:val="22"/>
          <w:szCs w:val="22"/>
        </w:rPr>
        <w:t xml:space="preserve"> That is the engineering principle at the heart of Group 6.</w:t>
      </w:r>
    </w:p>
    <w:p>
      <w:pPr>
        <w:spacing w:after="0" w:before="180"/>
      </w:pPr>
      <w:r>
        <w:t xml:space="preserve"/>
      </w:r>
    </w:p>
    <w:p>
      <w:pPr>
        <w:pBdr>
          <w:bottom w:val="single" w:color="C87137" w:sz="4" w:space="2"/>
        </w:pBdr>
        <w:spacing w:after="60" w:before="60"/>
      </w:pPr>
      <w:r>
        <w:t xml:space="preserve"/>
      </w:r>
    </w:p>
    <w:p>
      <w:pPr>
        <w:spacing w:after="20" w:before="60"/>
        <w:jc w:val="center"/>
      </w:pPr>
      <w:r>
        <w:rPr>
          <w:rFonts w:ascii="Courier New" w:cs="Courier New" w:eastAsia="Courier New" w:hAnsi="Courier New"/>
          <w:color w:val="9B6B2A"/>
          <w:sz w:val="17"/>
          <w:szCs w:val="17"/>
        </w:rPr>
        <w:t xml:space="preserve">PROYECT_MONI v1.0  —  Group 6: Hybrid Strategies on Polymarket  |  Technical Guide  |  2026</w:t>
      </w:r>
    </w:p>
    <w:p>
      <w:pPr>
        <w:spacing w:after="20" w:before="0"/>
        <w:jc w:val="center"/>
      </w:pPr>
      <w:r>
        <w:rPr>
          <w:rFonts w:ascii="Arial" w:cs="Arial" w:eastAsia="Arial" w:hAnsi="Arial"/>
          <w:color w:val="9B6B2A"/>
          <w:sz w:val="17"/>
          <w:szCs w:val="17"/>
        </w:rPr>
        <w:t xml:space="preserve">Sources: Polymarket.com  |  arXiv:2508.03474v1  |  Proyect_Moni_Arbitration_Full v1.0</w:t>
      </w:r>
    </w:p>
    <w:p>
      <w:pPr>
        <w:spacing w:after="60" w:before="0"/>
        <w:jc w:val="center"/>
      </w:pPr>
      <w:r>
        <w:rPr>
          <w:rFonts w:ascii="Arial" w:cs="Arial" w:eastAsia="Arial" w:hAnsi="Arial"/>
          <w:i/>
          <w:iCs/>
          <w:color w:val="9B6B2A"/>
          <w:sz w:val="16"/>
          <w:szCs w:val="16"/>
        </w:rPr>
        <w:t xml:space="preserve">This document is technical and educational. It does not constitute investment advice.</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7137" w:sz="4" w:space="2"/>
      </w:pBdr>
      <w:tabs>
        <w:tab w:val="right" w:pos="9026"/>
      </w:tabs>
      <w:spacing w:after="0" w:before="120"/>
    </w:pPr>
    <w:r>
      <w:rPr>
        <w:rFonts w:ascii="Arial" w:cs="Arial" w:eastAsia="Arial" w:hAnsi="Arial"/>
        <w:color w:val="6B430A"/>
        <w:sz w:val="16"/>
        <w:szCs w:val="16"/>
      </w:rPr>
      <w:t xml:space="preserve">Technical &amp; Educational — Not Investment Advice</w:t>
    </w:r>
    <w:r>
      <w:rPr>
        <w:rFonts w:ascii="Arial" w:cs="Arial" w:eastAsia="Arial" w:hAnsi="Arial"/>
        <w:color w:val="6B430A"/>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7137" w:sz="4" w:space="2"/>
      </w:pBdr>
      <w:spacing w:after="120" w:before="0"/>
    </w:pPr>
    <w:r>
      <w:rPr>
        <w:rFonts w:ascii="Arial" w:cs="Arial" w:eastAsia="Arial" w:hAnsi="Arial"/>
        <w:b/>
        <w:bCs/>
        <w:color w:val="1C1007"/>
        <w:sz w:val="18"/>
        <w:szCs w:val="18"/>
      </w:rPr>
      <w:t xml:space="preserve">Hybrid Strategies on Polymarket</w:t>
    </w:r>
    <w:r>
      <w:rPr>
        <w:rFonts w:ascii="Arial" w:cs="Arial" w:eastAsia="Arial" w:hAnsi="Arial"/>
        <w:color w:val="6B430A"/>
        <w:sz w:val="18"/>
        <w:szCs w:val="18"/>
      </w:rPr>
      <w:t xml:space="preserve">  |  Group 6  |  Proyect_Moni v1.0  |  Technical Guide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B200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C1007"/>
      <w:sz w:val="40"/>
      <w:szCs w:val="40"/>
    </w:rPr>
  </w:style>
  <w:style w:type="paragraph" w:styleId="Heading2">
    <w:name w:val="Heading 2"/>
    <w:basedOn w:val="Normal"/>
    <w:next w:val="Normal"/>
    <w:qFormat/>
    <w:pPr>
      <w:spacing w:after="100" w:before="240"/>
      <w:outlineLvl w:val="1"/>
    </w:pPr>
    <w:rPr>
      <w:rFonts w:ascii="Arial" w:cs="Arial" w:eastAsia="Arial" w:hAnsi="Arial"/>
      <w:b/>
      <w:bCs/>
      <w:color w:val="8B4500"/>
      <w:sz w:val="30"/>
      <w:szCs w:val="30"/>
    </w:rPr>
  </w:style>
  <w:style w:type="paragraph" w:styleId="Heading3">
    <w:name w:val="Heading 3"/>
    <w:basedOn w:val="Normal"/>
    <w:next w:val="Normal"/>
    <w:qFormat/>
    <w:pPr>
      <w:spacing w:after="80" w:before="180"/>
      <w:outlineLvl w:val="2"/>
    </w:pPr>
    <w:rPr>
      <w:rFonts w:ascii="Arial" w:cs="Arial" w:eastAsia="Arial" w:hAnsi="Arial"/>
      <w:b/>
      <w:bCs/>
      <w:color w:val="B85C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2026-04-11T01:34:34.572Z</dcterms:created>
  <dcterms:modified xsi:type="dcterms:W3CDTF">2026-04-11T01:34:34.573Z</dcterms:modified>
</cp:coreProperties>
</file>

<file path=docProps/custom.xml><?xml version="1.0" encoding="utf-8"?>
<Properties xmlns="http://schemas.openxmlformats.org/officeDocument/2006/custom-properties" xmlns:vt="http://schemas.openxmlformats.org/officeDocument/2006/docPropsVTypes"/>
</file>