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70B12" w:val="clear"/>
        <w:spacing w:after="40" w:before="40"/>
      </w:pPr>
      <w:r>
        <w:rPr>
          <w:rFonts w:ascii="Courier New" w:cs="Courier New" w:eastAsia="Courier New" w:hAnsi="Courier New"/>
          <w:b/>
          <w:bCs/>
          <w:color w:val="7DD3FC"/>
          <w:sz w:val="17"/>
          <w:szCs w:val="17"/>
        </w:rPr>
        <w:t xml:space="preserve">  PROYECT_MONI v1.0  ·  TECHNICAL REPORT  ·  FEBRUARY 2026</w:t>
      </w:r>
    </w:p>
    <w:p>
      <w:pPr>
        <w:spacing w:after="10" w:before="200"/>
      </w:pPr>
      <w:r>
        <w:rPr>
          <w:rFonts w:ascii="Arial" w:cs="Arial" w:eastAsia="Arial" w:hAnsi="Arial"/>
          <w:b/>
          <w:bCs/>
          <w:color w:val="111827"/>
          <w:sz w:val="72"/>
          <w:szCs w:val="72"/>
        </w:rPr>
        <w:t xml:space="preserve">Polymarket:</w:t>
      </w:r>
    </w:p>
    <w:p>
      <w:pPr>
        <w:spacing w:after="10" w:before="0"/>
      </w:pPr>
      <w:r>
        <w:rPr>
          <w:rFonts w:ascii="Arial" w:cs="Arial" w:eastAsia="Arial" w:hAnsi="Arial"/>
          <w:b/>
          <w:bCs/>
          <w:i/>
          <w:iCs/>
          <w:color w:val="0284C7"/>
          <w:sz w:val="64"/>
          <w:szCs w:val="64"/>
        </w:rPr>
        <w:t xml:space="preserve">28 Strategies</w:t>
      </w:r>
    </w:p>
    <w:p>
      <w:pPr>
        <w:spacing w:after="20" w:before="0"/>
      </w:pPr>
      <w:r>
        <w:rPr>
          <w:rFonts w:ascii="Arial" w:cs="Arial" w:eastAsia="Arial" w:hAnsi="Arial"/>
          <w:b w:val="false"/>
          <w:bCs w:val="false"/>
          <w:color w:val="374151"/>
          <w:sz w:val="48"/>
          <w:szCs w:val="48"/>
        </w:rPr>
        <w:t xml:space="preserve">Redefining Investment</w:t>
      </w:r>
    </w:p>
    <w:p>
      <w:pPr>
        <w:pBdr>
          <w:bottom w:val="single" w:color="0284C7" w:sz="6" w:space="2"/>
        </w:pBdr>
        <w:spacing w:after="60" w:before="60"/>
      </w:pPr>
      <w:r>
        <w:t xml:space="preserve"/>
      </w:r>
    </w:p>
    <w:p>
      <w:pPr>
        <w:spacing w:after="60" w:before="40"/>
      </w:pPr>
      <w:r>
        <w:rPr>
          <w:rFonts w:ascii="Arial" w:cs="Arial" w:eastAsia="Arial" w:hAnsi="Arial"/>
          <w:i/>
          <w:iCs/>
          <w:color w:val="6B7280"/>
          <w:sz w:val="23"/>
          <w:szCs w:val="23"/>
        </w:rPr>
        <w:t xml:space="preserve">The world's largest decentralized prediction market, analyzed in depth. Arbitrage, Minting, AI and more — a complete catalog for the 21st-century investor.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1"/>
              <w:left w:val="single" w:color="D1D5DB" w:sz="1"/>
              <w:bottom w:val="single" w:color="D1D5DB" w:sz="1"/>
              <w:right w:val="single" w:color="D1D5DB" w:sz="1"/>
            </w:tcBorders>
            <w:shd w:fill="EEF4FF" w:val="clear"/>
            <w:tcMar>
              <w:top w:type="dxa" w:w="100"/>
              <w:left w:type="dxa" w:w="80"/>
              <w:bottom w:type="dxa" w:w="100"/>
              <w:right w:type="dxa" w:w="80"/>
            </w:tcMar>
          </w:tcPr>
          <w:p>
            <w:pPr>
              <w:spacing w:after="20" w:before="60"/>
              <w:jc w:val="center"/>
            </w:pPr>
            <w:r>
              <w:rPr>
                <w:rFonts w:ascii="Arial" w:cs="Arial" w:eastAsia="Arial" w:hAnsi="Arial"/>
                <w:b/>
                <w:bCs/>
                <w:color w:val="0284C7"/>
                <w:sz w:val="32"/>
                <w:szCs w:val="32"/>
              </w:rPr>
              <w:t xml:space="preserve">28</w:t>
            </w:r>
          </w:p>
          <w:p>
            <w:pPr>
              <w:spacing w:after="60" w:before="0"/>
              <w:jc w:val="center"/>
            </w:pPr>
            <w:r>
              <w:rPr>
                <w:rFonts w:ascii="Courier New" w:cs="Courier New" w:eastAsia="Courier New" w:hAnsi="Courier New"/>
                <w:color w:val="6B7280"/>
                <w:sz w:val="14"/>
                <w:szCs w:val="14"/>
              </w:rPr>
              <w:t xml:space="preserve">Documented strategies</w:t>
            </w:r>
          </w:p>
        </w:tc>
        <w:tc>
          <w:tcPr>
            <w:tcW w:type="dxa" w:w="2340"/>
            <w:tcBorders>
              <w:top w:val="single" w:color="D1D5DB" w:sz="1"/>
              <w:left w:val="single" w:color="D1D5DB" w:sz="1"/>
              <w:bottom w:val="single" w:color="D1D5DB" w:sz="1"/>
              <w:right w:val="single" w:color="D1D5DB" w:sz="1"/>
            </w:tcBorders>
            <w:shd w:fill="EEF4FF" w:val="clear"/>
            <w:tcMar>
              <w:top w:type="dxa" w:w="100"/>
              <w:left w:type="dxa" w:w="80"/>
              <w:bottom w:type="dxa" w:w="100"/>
              <w:right w:type="dxa" w:w="80"/>
            </w:tcMar>
          </w:tcPr>
          <w:p>
            <w:pPr>
              <w:spacing w:after="20" w:before="60"/>
              <w:jc w:val="center"/>
            </w:pPr>
            <w:r>
              <w:rPr>
                <w:rFonts w:ascii="Arial" w:cs="Arial" w:eastAsia="Arial" w:hAnsi="Arial"/>
                <w:b/>
                <w:bCs/>
                <w:color w:val="0284C7"/>
                <w:sz w:val="32"/>
                <w:szCs w:val="32"/>
              </w:rPr>
              <w:t xml:space="preserve">$39.6M</w:t>
            </w:r>
          </w:p>
          <w:p>
            <w:pPr>
              <w:spacing w:after="60" w:before="0"/>
              <w:jc w:val="center"/>
            </w:pPr>
            <w:r>
              <w:rPr>
                <w:rFonts w:ascii="Courier New" w:cs="Courier New" w:eastAsia="Courier New" w:hAnsi="Courier New"/>
                <w:color w:val="6B7280"/>
                <w:sz w:val="14"/>
                <w:szCs w:val="14"/>
              </w:rPr>
              <w:t xml:space="preserve">Arbitrage in 12 months</w:t>
            </w:r>
          </w:p>
        </w:tc>
        <w:tc>
          <w:tcPr>
            <w:tcW w:type="dxa" w:w="2340"/>
            <w:tcBorders>
              <w:top w:val="single" w:color="D1D5DB" w:sz="1"/>
              <w:left w:val="single" w:color="D1D5DB" w:sz="1"/>
              <w:bottom w:val="single" w:color="D1D5DB" w:sz="1"/>
              <w:right w:val="single" w:color="D1D5DB" w:sz="1"/>
            </w:tcBorders>
            <w:shd w:fill="EEF4FF" w:val="clear"/>
            <w:tcMar>
              <w:top w:type="dxa" w:w="100"/>
              <w:left w:type="dxa" w:w="80"/>
              <w:bottom w:type="dxa" w:w="100"/>
              <w:right w:type="dxa" w:w="80"/>
            </w:tcMar>
          </w:tcPr>
          <w:p>
            <w:pPr>
              <w:spacing w:after="20" w:before="60"/>
              <w:jc w:val="center"/>
            </w:pPr>
            <w:r>
              <w:rPr>
                <w:rFonts w:ascii="Arial" w:cs="Arial" w:eastAsia="Arial" w:hAnsi="Arial"/>
                <w:b/>
                <w:bCs/>
                <w:color w:val="0284C7"/>
                <w:sz w:val="32"/>
                <w:szCs w:val="32"/>
              </w:rPr>
              <w:t xml:space="preserve">87%</w:t>
            </w:r>
          </w:p>
          <w:p>
            <w:pPr>
              <w:spacing w:after="60" w:before="0"/>
              <w:jc w:val="center"/>
            </w:pPr>
            <w:r>
              <w:rPr>
                <w:rFonts w:ascii="Courier New" w:cs="Courier New" w:eastAsia="Courier New" w:hAnsi="Courier New"/>
                <w:color w:val="6B7280"/>
                <w:sz w:val="14"/>
                <w:szCs w:val="14"/>
              </w:rPr>
              <w:t xml:space="preserve">Success rate (Type 1-2)</w:t>
            </w:r>
          </w:p>
        </w:tc>
        <w:tc>
          <w:tcPr>
            <w:tcW w:type="dxa" w:w="2340"/>
            <w:tcBorders>
              <w:top w:val="single" w:color="D1D5DB" w:sz="1"/>
              <w:left w:val="single" w:color="D1D5DB" w:sz="1"/>
              <w:bottom w:val="single" w:color="D1D5DB" w:sz="1"/>
              <w:right w:val="single" w:color="D1D5DB" w:sz="1"/>
            </w:tcBorders>
            <w:shd w:fill="EEF4FF" w:val="clear"/>
            <w:tcMar>
              <w:top w:type="dxa" w:w="100"/>
              <w:left w:type="dxa" w:w="80"/>
              <w:bottom w:type="dxa" w:w="100"/>
              <w:right w:type="dxa" w:w="80"/>
            </w:tcMar>
          </w:tcPr>
          <w:p>
            <w:pPr>
              <w:spacing w:after="20" w:before="60"/>
              <w:jc w:val="center"/>
            </w:pPr>
            <w:r>
              <w:rPr>
                <w:rFonts w:ascii="Arial" w:cs="Arial" w:eastAsia="Arial" w:hAnsi="Arial"/>
                <w:b/>
                <w:bCs/>
                <w:color w:val="0284C7"/>
                <w:sz w:val="32"/>
                <w:szCs w:val="32"/>
              </w:rPr>
              <w:t xml:space="preserve">6</w:t>
            </w:r>
          </w:p>
          <w:p>
            <w:pPr>
              <w:spacing w:after="60" w:before="0"/>
              <w:jc w:val="center"/>
            </w:pPr>
            <w:r>
              <w:rPr>
                <w:rFonts w:ascii="Courier New" w:cs="Courier New" w:eastAsia="Courier New" w:hAnsi="Courier New"/>
                <w:color w:val="6B7280"/>
                <w:sz w:val="14"/>
                <w:szCs w:val="14"/>
              </w:rPr>
              <w:t xml:space="preserve">Strategy groups</w:t>
            </w:r>
          </w:p>
        </w:tc>
      </w:tr>
    </w:tbl>
    <w:p>
      <w:pPr>
        <w:shd w:fill="070B12" w:val="clear"/>
        <w:spacing w:after="80" w:before="320"/>
      </w:pPr>
      <w:r>
        <w:rPr>
          <w:rFonts w:ascii="Courier New" w:cs="Courier New" w:eastAsia="Courier New" w:hAnsi="Courier New"/>
          <w:b/>
          <w:bCs/>
          <w:color w:val="7DD3FC"/>
          <w:sz w:val="17"/>
          <w:szCs w:val="17"/>
        </w:rPr>
        <w:t xml:space="preserve">  // 01 · INTRODUCTION  </w:t>
      </w:r>
    </w:p>
    <w:p>
      <w:pPr>
        <w:pStyle w:val="Heading1"/>
        <w:pBdr>
          <w:bottom w:val="single" w:color="0284C7" w:sz="6" w:space="3"/>
        </w:pBdr>
        <w:spacing w:after="140" w:before="280"/>
      </w:pPr>
      <w:r>
        <w:rPr>
          <w:rFonts w:ascii="Arial" w:cs="Arial" w:eastAsia="Arial" w:hAnsi="Arial"/>
          <w:b/>
          <w:bCs/>
          <w:color w:val="111827"/>
          <w:sz w:val="40"/>
          <w:szCs w:val="40"/>
        </w:rPr>
        <w:t xml:space="preserve">What is Polymarket and why does it matter to investors?</w:t>
      </w:r>
    </w:p>
    <w:p>
      <w:pPr>
        <w:spacing w:after="60" w:before="60"/>
      </w:pPr>
      <w:r>
        <w:rPr>
          <w:rFonts w:ascii="Arial" w:cs="Arial" w:eastAsia="Arial" w:hAnsi="Arial"/>
          <w:b/>
          <w:bCs/>
          <w:color w:val="111827"/>
          <w:sz w:val="22"/>
          <w:szCs w:val="22"/>
        </w:rPr>
        <w:t xml:space="preserve">Polymarket</w:t>
      </w:r>
      <w:r>
        <w:rPr>
          <w:rFonts w:ascii="Arial" w:cs="Arial" w:eastAsia="Arial" w:hAnsi="Arial"/>
          <w:color w:val="374151"/>
          <w:sz w:val="22"/>
          <w:szCs w:val="22"/>
        </w:rPr>
        <w:t xml:space="preserve"> is the world's largest decentralized prediction market, operating on the </w:t>
      </w:r>
      <w:r>
        <w:rPr>
          <w:rFonts w:ascii="Arial" w:cs="Arial" w:eastAsia="Arial" w:hAnsi="Arial"/>
          <w:b/>
          <w:bCs/>
          <w:color w:val="0284C7"/>
          <w:sz w:val="22"/>
          <w:szCs w:val="22"/>
        </w:rPr>
        <w:t xml:space="preserve">Polygon</w:t>
      </w:r>
      <w:r>
        <w:rPr>
          <w:rFonts w:ascii="Arial" w:cs="Arial" w:eastAsia="Arial" w:hAnsi="Arial"/>
          <w:color w:val="374151"/>
          <w:sz w:val="22"/>
          <w:szCs w:val="22"/>
        </w:rPr>
        <w:t xml:space="preserve"> blockchain with </w:t>
      </w:r>
      <w:r>
        <w:rPr>
          <w:rFonts w:ascii="Arial" w:cs="Arial" w:eastAsia="Arial" w:hAnsi="Arial"/>
          <w:b/>
          <w:bCs/>
          <w:color w:val="0284C7"/>
          <w:sz w:val="22"/>
          <w:szCs w:val="22"/>
        </w:rPr>
        <w:t xml:space="preserve">USDC</w:t>
      </w:r>
      <w:r>
        <w:rPr>
          <w:rFonts w:ascii="Arial" w:cs="Arial" w:eastAsia="Arial" w:hAnsi="Arial"/>
          <w:color w:val="374151"/>
          <w:sz w:val="22"/>
          <w:szCs w:val="22"/>
        </w:rPr>
        <w:t xml:space="preserve"> as its transaction currency. Unlike traditional exchanges, Polymarket trades directly on </w:t>
      </w:r>
      <w:r>
        <w:rPr>
          <w:rFonts w:ascii="Arial" w:cs="Arial" w:eastAsia="Arial" w:hAnsi="Arial"/>
          <w:i/>
          <w:iCs/>
          <w:color w:val="6B7280"/>
          <w:sz w:val="22"/>
          <w:szCs w:val="22"/>
        </w:rPr>
        <w:t xml:space="preserve">probabilities of real-world events</w:t>
      </w:r>
      <w:r>
        <w:rPr>
          <w:rFonts w:ascii="Arial" w:cs="Arial" w:eastAsia="Arial" w:hAnsi="Arial"/>
          <w:color w:val="374151"/>
          <w:sz w:val="22"/>
          <w:szCs w:val="22"/>
        </w:rPr>
        <w:t xml:space="preserve">: elections, asset prices, sports outcomes, geopolitical events, and much more.</w:t>
      </w:r>
    </w:p>
    <w:p>
      <w:pPr>
        <w:spacing w:after="0" w:before="50"/>
      </w:pPr>
      <w:r>
        <w:t xml:space="preserve"/>
      </w:r>
    </w:p>
    <w:p>
      <w:pPr>
        <w:spacing w:after="60" w:before="60"/>
      </w:pPr>
      <w:r>
        <w:rPr>
          <w:rFonts w:ascii="Arial" w:cs="Arial" w:eastAsia="Arial" w:hAnsi="Arial"/>
          <w:color w:val="374151"/>
          <w:sz w:val="22"/>
          <w:szCs w:val="22"/>
        </w:rPr>
        <w:t xml:space="preserve">For investors, Polymarket represents an entirely new asset class. Its pricing mechanism aggregates the collective intelligence of thousands of participants worldwide, generating probability signals that often outperform traditional analytical models. The core principle is elegant: in an efficient binary market, the price of the </w:t>
      </w:r>
      <w:r>
        <w:rPr>
          <w:rFonts w:ascii="Arial" w:cs="Arial" w:eastAsia="Arial" w:hAnsi="Arial"/>
          <w:b/>
          <w:bCs/>
          <w:color w:val="059669"/>
          <w:sz w:val="22"/>
          <w:szCs w:val="22"/>
        </w:rPr>
        <w:t xml:space="preserve">YES</w:t>
      </w:r>
      <w:r>
        <w:rPr>
          <w:rFonts w:ascii="Arial" w:cs="Arial" w:eastAsia="Arial" w:hAnsi="Arial"/>
          <w:color w:val="374151"/>
          <w:sz w:val="22"/>
          <w:szCs w:val="22"/>
        </w:rPr>
        <w:t xml:space="preserve"> token plus the price of the </w:t>
      </w:r>
      <w:r>
        <w:rPr>
          <w:rFonts w:ascii="Arial" w:cs="Arial" w:eastAsia="Arial" w:hAnsi="Arial"/>
          <w:b/>
          <w:bCs/>
          <w:color w:val="DC2626"/>
          <w:sz w:val="22"/>
          <w:szCs w:val="22"/>
        </w:rPr>
        <w:t xml:space="preserve">NO</w:t>
      </w:r>
      <w:r>
        <w:rPr>
          <w:rFonts w:ascii="Arial" w:cs="Arial" w:eastAsia="Arial" w:hAnsi="Arial"/>
          <w:color w:val="374151"/>
          <w:sz w:val="22"/>
          <w:szCs w:val="22"/>
        </w:rPr>
        <w:t xml:space="preserve"> token must equal exactly </w:t>
      </w:r>
      <w:r>
        <w:rPr>
          <w:rFonts w:ascii="Arial" w:cs="Arial" w:eastAsia="Arial" w:hAnsi="Arial"/>
          <w:b/>
          <w:bCs/>
          <w:color w:val="111827"/>
          <w:sz w:val="22"/>
          <w:szCs w:val="22"/>
        </w:rPr>
        <w:t xml:space="preserve">$1.00</w:t>
      </w:r>
      <w:r>
        <w:rPr>
          <w:rFonts w:ascii="Arial" w:cs="Arial" w:eastAsia="Arial" w:hAnsi="Arial"/>
          <w:color w:val="374151"/>
          <w:sz w:val="22"/>
          <w:szCs w:val="22"/>
        </w:rPr>
        <w:t xml:space="preserve">. When that equation breaks, opportunity is born.</w:t>
      </w:r>
    </w:p>
    <w:p>
      <w:pPr>
        <w:spacing w:after="0" w:before="50"/>
      </w:pPr>
      <w:r>
        <w:t xml:space="preserve"/>
      </w:r>
    </w:p>
    <w:p>
      <w:pPr>
        <w:spacing w:after="60" w:before="60"/>
      </w:pPr>
      <w:r>
        <w:rPr>
          <w:rFonts w:ascii="Arial" w:cs="Arial" w:eastAsia="Arial" w:hAnsi="Arial"/>
          <w:color w:val="374151"/>
          <w:sz w:val="22"/>
          <w:szCs w:val="22"/>
        </w:rPr>
        <w:t xml:space="preserve">Academic research (</w:t>
      </w:r>
      <w:r>
        <w:rPr>
          <w:rFonts w:ascii="Courier New" w:cs="Courier New" w:eastAsia="Courier New" w:hAnsi="Courier New"/>
          <w:b/>
          <w:bCs/>
          <w:color w:val="0284C7"/>
          <w:sz w:val="20"/>
          <w:szCs w:val="20"/>
        </w:rPr>
        <w:t xml:space="preserve">arXiv:2508.03474v1</w:t>
      </w:r>
      <w:r>
        <w:rPr>
          <w:rFonts w:ascii="Arial" w:cs="Arial" w:eastAsia="Arial" w:hAnsi="Arial"/>
          <w:color w:val="374151"/>
          <w:sz w:val="22"/>
          <w:szCs w:val="22"/>
        </w:rPr>
        <w:t xml:space="preserve">) documented </w:t>
      </w:r>
      <w:r>
        <w:rPr>
          <w:rFonts w:ascii="Arial" w:cs="Arial" w:eastAsia="Arial" w:hAnsi="Arial"/>
          <w:b/>
          <w:bCs/>
          <w:color w:val="D97706"/>
          <w:sz w:val="22"/>
          <w:szCs w:val="22"/>
        </w:rPr>
        <w:t xml:space="preserve">$39.6 million USD</w:t>
      </w:r>
      <w:r>
        <w:rPr>
          <w:rFonts w:ascii="Arial" w:cs="Arial" w:eastAsia="Arial" w:hAnsi="Arial"/>
          <w:color w:val="374151"/>
          <w:sz w:val="22"/>
          <w:szCs w:val="22"/>
        </w:rPr>
        <w:t xml:space="preserve"> in arbitrage opportunities between April 2024 and April 2025 alone, confirming that these inefficiencies are real, frequent, and systematically exploitable.</w:t>
      </w:r>
    </w:p>
    <w:p>
      <w:pPr>
        <w:spacing w:after="0" w:before="40"/>
      </w:pPr>
      <w:r>
        <w:t xml:space="preserve"/>
      </w:r>
    </w:p>
    <w:p>
      <w:pPr>
        <w:pBdr>
          <w:left w:val="single" w:color="0284C7" w:sz="14"/>
        </w:pBdr>
        <w:shd w:fill="EEF4FF" w:val="clear"/>
        <w:spacing w:after="30" w:before="80"/>
        <w:ind w:left="200"/>
      </w:pPr>
      <w:r>
        <w:rPr>
          <w:rFonts w:ascii="Courier New" w:cs="Courier New" w:eastAsia="Courier New" w:hAnsi="Courier New"/>
          <w:b/>
          <w:bCs/>
          <w:color w:val="0284C7"/>
          <w:sz w:val="16"/>
          <w:szCs w:val="16"/>
        </w:rPr>
        <w:t xml:space="preserve">CORE ARBITRAGE PRINCIPLE</w:t>
      </w:r>
    </w:p>
    <w:p>
      <w:pPr>
        <w:pBdr>
          <w:left w:val="single" w:color="0284C7" w:sz="14"/>
        </w:pBdr>
        <w:shd w:fill="EEF4FF" w:val="clear"/>
        <w:spacing w:after="20" w:before="20"/>
        <w:ind w:left="200"/>
      </w:pPr>
      <w:r>
        <w:rPr>
          <w:rFonts w:ascii="Courier New" w:cs="Courier New" w:eastAsia="Courier New" w:hAnsi="Courier New"/>
          <w:b/>
          <w:bCs/>
          <w:color w:val="065F46"/>
          <w:sz w:val="24"/>
          <w:szCs w:val="24"/>
        </w:rPr>
        <w:t xml:space="preserve">Price_YES + Price_NO = $1.00</w:t>
      </w:r>
    </w:p>
    <w:p>
      <w:pPr>
        <w:pBdr>
          <w:left w:val="single" w:color="0284C7" w:sz="14"/>
        </w:pBdr>
        <w:shd w:fill="EEF4FF" w:val="clear"/>
        <w:spacing w:after="60" w:before="20"/>
        <w:ind w:left="200"/>
      </w:pPr>
      <w:r>
        <w:rPr>
          <w:rFonts w:ascii="Arial" w:cs="Arial" w:eastAsia="Arial" w:hAnsi="Arial"/>
          <w:color w:val="374151"/>
          <w:sz w:val="20"/>
          <w:szCs w:val="20"/>
        </w:rPr>
        <w:t xml:space="preserve">When this equation is violated, a mathematically guaranteed arbitrage opportunity exists, independent of the event's outcome.</w:t>
      </w:r>
    </w:p>
    <w:p>
      <w:pPr>
        <w:spacing w:after="0" w:before="40"/>
      </w:pPr>
      <w:r>
        <w:t xml:space="preserve"/>
      </w:r>
    </w:p>
    <w:p>
      <w:pPr>
        <w:pBdr>
          <w:left w:val="single" w:color="D97706" w:sz="14"/>
        </w:pBdr>
        <w:shd w:fill="FEF9C3" w:val="clear"/>
        <w:spacing w:after="50" w:before="80"/>
        <w:ind w:left="200"/>
      </w:pPr>
      <w:r>
        <w:rPr>
          <w:rFonts w:ascii="Courier New" w:cs="Courier New" w:eastAsia="Courier New" w:hAnsi="Courier New"/>
          <w:b/>
          <w:bCs/>
          <w:color w:val="D97706"/>
          <w:sz w:val="16"/>
          <w:szCs w:val="16"/>
        </w:rPr>
        <w:t xml:space="preserve">⚠ LEGAL DISCLAIMER &amp; RISK WARNING</w:t>
      </w:r>
    </w:p>
    <w:p>
      <w:pPr>
        <w:pBdr>
          <w:left w:val="single" w:color="D97706" w:sz="14"/>
        </w:pBdr>
        <w:shd w:fill="FEF9C3" w:val="clear"/>
        <w:spacing w:after="40" w:before="40"/>
        <w:ind w:left="200"/>
      </w:pPr>
      <w:r>
        <w:rPr>
          <w:rFonts w:ascii="Arial" w:cs="Arial" w:eastAsia="Arial" w:hAnsi="Arial"/>
          <w:color w:val="374151"/>
          <w:sz w:val="21"/>
          <w:szCs w:val="21"/>
        </w:rPr>
        <w:t xml:space="preserve">This document is TECHNICAL AND EDUCATIONAL in nature. It does not constitute investment, financial, or legal advice. The strategies described involve REAL RISK OF CAPITAL LOSS. Polymarket may be restricted in certain jurisdictions. Past returns documented in the academic paper DO NOT GUARANTEE future results. USDC and the Polygon network are subject to additional technological and regulatory risks. Always verify local regulations before operating.</w:t>
      </w:r>
    </w:p>
    <w:p>
      <w:pPr>
        <w:pBdr>
          <w:left w:val="single" w:color="D97706" w:sz="14"/>
        </w:pBdr>
        <w:shd w:fill="FEF9C3" w:val="clear"/>
        <w:spacing w:after="60" w:before="40"/>
        <w:ind w:left="200"/>
      </w:pPr>
      <w:r>
        <w:t xml:space="preserve"/>
      </w:r>
    </w:p>
    <w:p>
      <w:pPr>
        <w:spacing w:after="0" w:before="40"/>
      </w:pPr>
      <w:r>
        <w:t xml:space="preserve"/>
      </w:r>
    </w:p>
    <w:p>
      <w:pPr>
        <w:pStyle w:val="Heading2"/>
        <w:spacing w:after="100" w:before="220"/>
      </w:pPr>
      <w:r>
        <w:rPr>
          <w:rFonts w:ascii="Arial" w:cs="Arial" w:eastAsia="Arial" w:hAnsi="Arial"/>
          <w:b/>
          <w:bCs/>
          <w:color w:val="111827"/>
          <w:sz w:val="28"/>
          <w:szCs w:val="28"/>
        </w:rPr>
        <w:t xml:space="preserve">Regulatory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rPr>
          <w:tblHeader/>
        </w:trPr>
        <w:tc>
          <w:tcPr>
            <w:tcW w:type="dxa" w:w="2160"/>
            <w:tcBorders>
              <w:top w:val="single" w:color="D1D5DB" w:sz="1"/>
              <w:left w:val="single" w:color="D1D5DB" w:sz="1"/>
              <w:bottom w:val="single" w:color="D1D5DB" w:sz="1"/>
              <w:right w:val="single" w:color="D1D5DB" w:sz="1"/>
            </w:tcBorders>
            <w:shd w:fill="111827" w:val="clear"/>
            <w:tcMar>
              <w:top w:type="dxa" w:w="90"/>
              <w:left w:type="dxa" w:w="130"/>
              <w:bottom w:type="dxa" w:w="90"/>
              <w:right w:type="dxa" w:w="130"/>
            </w:tcMar>
          </w:tcPr>
          <w:p>
            <w:pPr>
              <w:spacing w:after="40" w:before="40"/>
            </w:pPr>
            <w:r>
              <w:rPr>
                <w:rFonts w:ascii="Arial" w:cs="Arial" w:eastAsia="Arial" w:hAnsi="Arial"/>
                <w:b/>
                <w:bCs/>
                <w:color w:val="FFFFFF"/>
                <w:sz w:val="19"/>
                <w:szCs w:val="19"/>
              </w:rPr>
              <w:t xml:space="preserve">Aspect</w:t>
            </w:r>
          </w:p>
        </w:tc>
        <w:tc>
          <w:tcPr>
            <w:tcW w:type="dxa" w:w="7200"/>
            <w:tcBorders>
              <w:top w:val="single" w:color="D1D5DB" w:sz="1"/>
              <w:left w:val="single" w:color="D1D5DB" w:sz="1"/>
              <w:bottom w:val="single" w:color="D1D5DB" w:sz="1"/>
              <w:right w:val="single" w:color="D1D5DB" w:sz="1"/>
            </w:tcBorders>
            <w:shd w:fill="111827" w:val="clear"/>
            <w:tcMar>
              <w:top w:type="dxa" w:w="90"/>
              <w:left w:type="dxa" w:w="130"/>
              <w:bottom w:type="dxa" w:w="90"/>
              <w:right w:type="dxa" w:w="130"/>
            </w:tcMar>
          </w:tcPr>
          <w:p>
            <w:pPr>
              <w:spacing w:after="40" w:before="40"/>
            </w:pPr>
            <w:r>
              <w:rPr>
                <w:rFonts w:ascii="Arial" w:cs="Arial" w:eastAsia="Arial" w:hAnsi="Arial"/>
                <w:b/>
                <w:bCs/>
                <w:color w:val="FFFFFF"/>
                <w:sz w:val="19"/>
                <w:szCs w:val="19"/>
              </w:rPr>
              <w:t xml:space="preserve">Description</w:t>
            </w:r>
          </w:p>
        </w:tc>
      </w:tr>
      <w:tr>
        <w:tc>
          <w:tcPr>
            <w:tcW w:type="dxa" w:w="2160"/>
            <w:tcBorders>
              <w:top w:val="single" w:color="D1D5DB" w:sz="1"/>
              <w:left w:val="single" w:color="D1D5DB" w:sz="1"/>
              <w:bottom w:val="single" w:color="D1D5DB" w:sz="1"/>
              <w:right w:val="single" w:color="D1D5DB" w:sz="1"/>
            </w:tcBorders>
            <w:shd w:fill="E0EAFF" w:val="clear"/>
            <w:tcMar>
              <w:top w:type="dxa" w:w="80"/>
              <w:left w:type="dxa" w:w="120"/>
              <w:bottom w:type="dxa" w:w="80"/>
              <w:right w:type="dxa" w:w="120"/>
            </w:tcMar>
          </w:tcPr>
          <w:p>
            <w:pPr>
              <w:spacing w:after="40" w:before="40"/>
            </w:pPr>
            <w:r>
              <w:rPr>
                <w:rFonts w:ascii="Arial" w:cs="Arial" w:eastAsia="Arial" w:hAnsi="Arial"/>
                <w:b/>
                <w:bCs/>
                <w:color w:val="111827"/>
                <w:sz w:val="19"/>
                <w:szCs w:val="19"/>
              </w:rPr>
              <w:t xml:space="preserve">Jurisdiction</w:t>
            </w:r>
          </w:p>
        </w:tc>
        <w:tc>
          <w:tcPr>
            <w:tcW w:type="dxa" w:w="720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Verify the legality of prediction markets in your country before depositing capital. Certain markets are restricted for U.S. residents.</w:t>
            </w:r>
          </w:p>
        </w:tc>
      </w:tr>
      <w:tr>
        <w:tc>
          <w:tcPr>
            <w:tcW w:type="dxa" w:w="2160"/>
            <w:tcBorders>
              <w:top w:val="single" w:color="D1D5DB" w:sz="1"/>
              <w:left w:val="single" w:color="D1D5DB" w:sz="1"/>
              <w:bottom w:val="single" w:color="D1D5DB" w:sz="1"/>
              <w:right w:val="single" w:color="D1D5DB" w:sz="1"/>
            </w:tcBorders>
            <w:shd w:fill="E0EAFF" w:val="clear"/>
            <w:tcMar>
              <w:top w:type="dxa" w:w="80"/>
              <w:left w:type="dxa" w:w="120"/>
              <w:bottom w:type="dxa" w:w="80"/>
              <w:right w:type="dxa" w:w="120"/>
            </w:tcMar>
          </w:tcPr>
          <w:p>
            <w:pPr>
              <w:spacing w:after="40" w:before="40"/>
            </w:pPr>
            <w:r>
              <w:rPr>
                <w:rFonts w:ascii="Arial" w:cs="Arial" w:eastAsia="Arial" w:hAnsi="Arial"/>
                <w:b/>
                <w:bCs/>
                <w:color w:val="111827"/>
                <w:sz w:val="19"/>
                <w:szCs w:val="19"/>
              </w:rPr>
              <w:t xml:space="preserve">KYC / AML</w:t>
            </w:r>
          </w:p>
        </w:tc>
        <w:tc>
          <w:tcPr>
            <w:tcW w:type="dxa" w:w="7200"/>
            <w:tcBorders>
              <w:top w:val="single" w:color="D1D5DB" w:sz="1"/>
              <w:left w:val="single" w:color="D1D5DB" w:sz="1"/>
              <w:bottom w:val="single" w:color="D1D5DB" w:sz="1"/>
              <w:right w:val="single" w:color="D1D5DB" w:sz="1"/>
            </w:tcBorders>
            <w:shd w:fill="FAFB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Polymarket requires identity verification at certain usage levels. All blockchain transactions are public and traceable on-chain.</w:t>
            </w:r>
          </w:p>
        </w:tc>
      </w:tr>
      <w:tr>
        <w:tc>
          <w:tcPr>
            <w:tcW w:type="dxa" w:w="2160"/>
            <w:tcBorders>
              <w:top w:val="single" w:color="D1D5DB" w:sz="1"/>
              <w:left w:val="single" w:color="D1D5DB" w:sz="1"/>
              <w:bottom w:val="single" w:color="D1D5DB" w:sz="1"/>
              <w:right w:val="single" w:color="D1D5DB" w:sz="1"/>
            </w:tcBorders>
            <w:shd w:fill="E0EAFF" w:val="clear"/>
            <w:tcMar>
              <w:top w:type="dxa" w:w="80"/>
              <w:left w:type="dxa" w:w="120"/>
              <w:bottom w:type="dxa" w:w="80"/>
              <w:right w:type="dxa" w:w="120"/>
            </w:tcMar>
          </w:tcPr>
          <w:p>
            <w:pPr>
              <w:spacing w:after="40" w:before="40"/>
            </w:pPr>
            <w:r>
              <w:rPr>
                <w:rFonts w:ascii="Arial" w:cs="Arial" w:eastAsia="Arial" w:hAnsi="Arial"/>
                <w:b/>
                <w:bCs/>
                <w:color w:val="111827"/>
                <w:sz w:val="19"/>
                <w:szCs w:val="19"/>
              </w:rPr>
              <w:t xml:space="preserve">Taxes</w:t>
            </w:r>
          </w:p>
        </w:tc>
        <w:tc>
          <w:tcPr>
            <w:tcW w:type="dxa" w:w="720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Gains from prediction markets may be taxable depending on your country. Consult a tax advisor specializing in crypto assets.</w:t>
            </w:r>
          </w:p>
        </w:tc>
      </w:tr>
      <w:tr>
        <w:tc>
          <w:tcPr>
            <w:tcW w:type="dxa" w:w="2160"/>
            <w:tcBorders>
              <w:top w:val="single" w:color="D1D5DB" w:sz="1"/>
              <w:left w:val="single" w:color="D1D5DB" w:sz="1"/>
              <w:bottom w:val="single" w:color="D1D5DB" w:sz="1"/>
              <w:right w:val="single" w:color="D1D5DB" w:sz="1"/>
            </w:tcBorders>
            <w:shd w:fill="E0EAFF" w:val="clear"/>
            <w:tcMar>
              <w:top w:type="dxa" w:w="80"/>
              <w:left w:type="dxa" w:w="120"/>
              <w:bottom w:type="dxa" w:w="80"/>
              <w:right w:type="dxa" w:w="120"/>
            </w:tcMar>
          </w:tcPr>
          <w:p>
            <w:pPr>
              <w:spacing w:after="40" w:before="40"/>
            </w:pPr>
            <w:r>
              <w:rPr>
                <w:rFonts w:ascii="Arial" w:cs="Arial" w:eastAsia="Arial" w:hAnsi="Arial"/>
                <w:b/>
                <w:bCs/>
                <w:color w:val="111827"/>
                <w:sz w:val="19"/>
                <w:szCs w:val="19"/>
              </w:rPr>
              <w:t xml:space="preserve">Technology Risk</w:t>
            </w:r>
          </w:p>
        </w:tc>
        <w:tc>
          <w:tcPr>
            <w:tcW w:type="dxa" w:w="7200"/>
            <w:tcBorders>
              <w:top w:val="single" w:color="D1D5DB" w:sz="1"/>
              <w:left w:val="single" w:color="D1D5DB" w:sz="1"/>
              <w:bottom w:val="single" w:color="D1D5DB" w:sz="1"/>
              <w:right w:val="single" w:color="D1D5DB" w:sz="1"/>
            </w:tcBorders>
            <w:shd w:fill="FAFB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Smart contracts on Polygon, USDC, and the CTF (Gnosis) protocol are subject to software vulnerabilities. Only use capital you can afford to lose.</w:t>
            </w:r>
          </w:p>
        </w:tc>
      </w:tr>
    </w:tbl>
    <w:p>
      <w:pPr>
        <w:shd w:fill="070B12" w:val="clear"/>
        <w:spacing w:after="80" w:before="320"/>
      </w:pPr>
      <w:r>
        <w:rPr>
          <w:rFonts w:ascii="Courier New" w:cs="Courier New" w:eastAsia="Courier New" w:hAnsi="Courier New"/>
          <w:b/>
          <w:bCs/>
          <w:color w:val="7DD3FC"/>
          <w:sz w:val="17"/>
          <w:szCs w:val="17"/>
        </w:rPr>
        <w:t xml:space="preserve">  // 02 · STRATEGY CATALOG  </w:t>
      </w:r>
    </w:p>
    <w:p>
      <w:pPr>
        <w:pStyle w:val="Heading1"/>
        <w:pBdr>
          <w:bottom w:val="single" w:color="0284C7" w:sz="6" w:space="3"/>
        </w:pBdr>
        <w:spacing w:after="140" w:before="280"/>
      </w:pPr>
      <w:r>
        <w:rPr>
          <w:rFonts w:ascii="Arial" w:cs="Arial" w:eastAsia="Arial" w:hAnsi="Arial"/>
          <w:b/>
          <w:bCs/>
          <w:color w:val="111827"/>
          <w:sz w:val="40"/>
          <w:szCs w:val="40"/>
        </w:rPr>
        <w:t xml:space="preserve">6 Groups. 28 Strategies. A Complete Ecosystem.</w:t>
      </w:r>
    </w:p>
    <w:p>
      <w:pPr>
        <w:spacing w:after="60" w:before="60"/>
      </w:pPr>
      <w:r>
        <w:rPr>
          <w:rFonts w:ascii="Arial" w:cs="Arial" w:eastAsia="Arial" w:hAnsi="Arial"/>
          <w:color w:val="374151"/>
          <w:sz w:val="22"/>
          <w:szCs w:val="22"/>
        </w:rPr>
        <w:t xml:space="preserve">The 28 identified strategies are classified into six groups based on their risk profile, profit mechanism, and level of technical sophistication required. From pure arbitrage with mathematically guaranteed gains, to hybrid systems combining artificial intelligence and accelerated compounding.</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0284C7" w:val="clear"/>
            <w:tcMar>
              <w:top w:type="dxa" w:w="120"/>
              <w:left w:type="dxa" w:w="180"/>
              <w:bottom w:type="dxa" w:w="120"/>
              <w:right w:type="dxa" w:w="180"/>
            </w:tcMar>
          </w:tcPr>
          <w:p>
            <w:pPr>
              <w:spacing w:after="40" w:before="40"/>
            </w:pPr>
            <w:r>
              <w:rPr>
                <w:rFonts w:ascii="Arial" w:cs="Arial" w:eastAsia="Arial" w:hAnsi="Arial"/>
                <w:color w:val="FFFFFF"/>
                <w:sz w:val="28"/>
                <w:szCs w:val="28"/>
              </w:rPr>
              <w:t xml:space="preserve">⚡  </w:t>
            </w:r>
            <w:r>
              <w:rPr>
                <w:rFonts w:ascii="Courier New" w:cs="Courier New" w:eastAsia="Courier New" w:hAnsi="Courier New"/>
                <w:b/>
                <w:bCs/>
                <w:color w:val="E0F2FE"/>
                <w:sz w:val="18"/>
                <w:szCs w:val="18"/>
              </w:rPr>
              <w:t xml:space="preserve">Group 1 · ARB-01 to ARB-06</w:t>
            </w:r>
            <w:r>
              <w:rPr>
                <w:rFonts w:ascii="Arial" w:cs="Arial" w:eastAsia="Arial" w:hAnsi="Arial"/>
                <w:b/>
                <w:bCs/>
                <w:color w:val="FFFFFF"/>
                <w:sz w:val="26"/>
                <w:szCs w:val="26"/>
              </w:rPr>
              <w:t xml:space="preserve">  ·  Pure Arbitrage</w:t>
            </w:r>
          </w:p>
        </w:tc>
      </w:tr>
      <w:tr>
        <w:tc>
          <w:tcPr>
            <w:tcW w:type="dxa" w:w="9360"/>
            <w:tcBorders>
              <w:top w:val="single" w:color="D1D5DB" w:sz="1"/>
              <w:left w:val="single" w:color="D1D5DB" w:sz="1"/>
              <w:bottom w:val="single" w:color="D1D5DB" w:sz="1"/>
              <w:right w:val="single" w:color="D1D5DB" w:sz="1"/>
            </w:tcBorders>
            <w:shd w:fill="F8FAFF" w:val="clear"/>
            <w:tcMar>
              <w:top w:type="dxa" w:w="120"/>
              <w:left w:type="dxa" w:w="180"/>
              <w:bottom w:type="dxa" w:w="120"/>
              <w:right w:type="dxa" w:w="180"/>
            </w:tcMar>
          </w:tcPr>
          <w:p>
            <w:pPr>
              <w:spacing w:after="40" w:before="40"/>
            </w:pPr>
            <w:r>
              <w:rPr>
                <w:rFonts w:ascii="Arial" w:cs="Arial" w:eastAsia="Arial" w:hAnsi="Arial"/>
                <w:color w:val="374151"/>
                <w:sz w:val="21"/>
                <w:szCs w:val="21"/>
              </w:rPr>
              <w:t xml:space="preserve">Mathematically guaranteed profit by exploiting price inefficiencies. The event outcome is irrelevant — only the numerical inconsistency is detected and captured. The academic paper documented $22.4M extracted using these techniques in 12 months.</w:t>
            </w:r>
          </w:p>
        </w:tc>
      </w:tr>
      <w:tr>
        <w:tc>
          <w:tcPr>
            <w:tcW w:type="dxa" w:w="9360"/>
            <w:tcBorders>
              <w:top w:val="single" w:color="D1D5DB" w:sz="1"/>
              <w:left w:val="single" w:color="D1D5DB" w:sz="1"/>
              <w:bottom w:val="single" w:color="D1D5DB" w:sz="1"/>
              <w:right w:val="single" w:color="D1D5DB" w:sz="1"/>
            </w:tcBorders>
            <w:shd w:fill="F0F4FF" w:val="clear"/>
            <w:tcMar>
              <w:top w:type="dxa" w:w="100"/>
              <w:left w:type="dxa" w:w="180"/>
              <w:bottom w:type="dxa" w:w="100"/>
              <w:right w:type="dxa" w:w="180"/>
            </w:tcMar>
          </w:tcPr>
          <w:p>
            <w:pPr>
              <w:spacing w:after="30" w:before="30"/>
            </w:pPr>
            <w:r>
              <w:rPr>
                <w:rFonts w:ascii="Courier New" w:cs="Courier New" w:eastAsia="Courier New" w:hAnsi="Courier New"/>
                <w:b/>
                <w:bCs/>
                <w:color w:val="0284C7"/>
                <w:sz w:val="16"/>
                <w:szCs w:val="16"/>
              </w:rPr>
              <w:t xml:space="preserve">STRATEGIES: </w:t>
            </w:r>
            <w:r>
              <w:rPr>
                <w:rFonts w:ascii="Courier New" w:cs="Courier New" w:eastAsia="Courier New" w:hAnsi="Courier New"/>
                <w:color w:val="4B5563"/>
                <w:sz w:val="16"/>
                <w:szCs w:val="16"/>
              </w:rPr>
              <w:t xml:space="preserve">ARB-01 Binary Buy  ·  ARB-02 Binary Sell/Mint  ·  ARB-03 NegRisk Buy  ·  ARB-04 NegRisk Sell  ·  ARB-05 Cross-Market  ·  ARB-06 Cross-Platform</w:t>
            </w:r>
          </w:p>
        </w:tc>
      </w:tr>
      <w:tr>
        <w:tc>
          <w:tcPr>
            <w:tcW w:type="dxa" w:w="3120"/>
            <w:tcBorders>
              <w:top w:val="single" w:color="D1D5DB" w:sz="1"/>
              <w:left w:val="single" w:color="D1D5DB" w:sz="1"/>
              <w:bottom w:val="single" w:color="D1D5DB" w:sz="1"/>
              <w:right w:val="single" w:color="D1D5DB" w:sz="1"/>
            </w:tcBorders>
            <w:shd w:fill="EEF4FF" w:val="clear"/>
            <w:tcMar>
              <w:top w:type="dxa" w:w="90"/>
              <w:left w:type="dxa" w:w="120"/>
              <w:bottom w:type="dxa" w:w="90"/>
              <w:right w:type="dxa" w:w="120"/>
            </w:tcMar>
          </w:tcPr>
          <w:p>
            <w:pPr>
              <w:spacing w:after="10" w:before="40"/>
              <w:jc w:val="center"/>
            </w:pPr>
            <w:r>
              <w:rPr>
                <w:rFonts w:ascii="Arial" w:cs="Arial" w:eastAsia="Arial" w:hAnsi="Arial"/>
                <w:b/>
                <w:bCs/>
                <w:color w:val="0284C7"/>
                <w:sz w:val="24"/>
                <w:szCs w:val="24"/>
              </w:rPr>
              <w:t xml:space="preserve">87%</w:t>
            </w:r>
          </w:p>
          <w:p>
            <w:pPr>
              <w:spacing w:after="40" w:before="0"/>
              <w:jc w:val="center"/>
            </w:pPr>
            <w:r>
              <w:rPr>
                <w:rFonts w:ascii="Courier New" w:cs="Courier New" w:eastAsia="Courier New" w:hAnsi="Courier New"/>
                <w:color w:val="6B7280"/>
                <w:sz w:val="14"/>
                <w:szCs w:val="14"/>
              </w:rPr>
              <w:t xml:space="preserve">SUCCESS RATE (ARB-01/02)</w:t>
            </w:r>
          </w:p>
        </w:tc>
        <w:tc>
          <w:tcPr>
            <w:tcW w:type="dxa" w:w="3120"/>
            <w:tcBorders>
              <w:top w:val="single" w:color="D1D5DB" w:sz="1"/>
              <w:left w:val="single" w:color="D1D5DB" w:sz="1"/>
              <w:bottom w:val="single" w:color="D1D5DB" w:sz="1"/>
              <w:right w:val="single" w:color="D1D5DB" w:sz="1"/>
            </w:tcBorders>
            <w:shd w:fill="EEF4FF" w:val="clear"/>
            <w:tcMar>
              <w:top w:type="dxa" w:w="90"/>
              <w:left w:type="dxa" w:w="120"/>
              <w:bottom w:type="dxa" w:w="90"/>
              <w:right w:type="dxa" w:w="120"/>
            </w:tcMar>
          </w:tcPr>
          <w:p>
            <w:pPr>
              <w:spacing w:after="10" w:before="40"/>
              <w:jc w:val="center"/>
            </w:pPr>
            <w:r>
              <w:rPr>
                <w:rFonts w:ascii="Arial" w:cs="Arial" w:eastAsia="Arial" w:hAnsi="Arial"/>
                <w:b/>
                <w:bCs/>
                <w:color w:val="0284C7"/>
                <w:sz w:val="24"/>
                <w:szCs w:val="24"/>
              </w:rPr>
              <w:t xml:space="preserve">5–30%</w:t>
            </w:r>
          </w:p>
          <w:p>
            <w:pPr>
              <w:spacing w:after="40" w:before="0"/>
              <w:jc w:val="center"/>
            </w:pPr>
            <w:r>
              <w:rPr>
                <w:rFonts w:ascii="Courier New" w:cs="Courier New" w:eastAsia="Courier New" w:hAnsi="Courier New"/>
                <w:color w:val="6B7280"/>
                <w:sz w:val="14"/>
                <w:szCs w:val="14"/>
              </w:rPr>
              <w:t xml:space="preserve">TYPICAL ROI / TRADE</w:t>
            </w:r>
          </w:p>
        </w:tc>
        <w:tc>
          <w:tcPr>
            <w:tcW w:type="dxa" w:w="3120"/>
            <w:tcBorders>
              <w:top w:val="single" w:color="D1D5DB" w:sz="1"/>
              <w:left w:val="single" w:color="D1D5DB" w:sz="1"/>
              <w:bottom w:val="single" w:color="D1D5DB" w:sz="1"/>
              <w:right w:val="single" w:color="D1D5DB" w:sz="1"/>
            </w:tcBorders>
            <w:shd w:fill="EEF4FF" w:val="clear"/>
            <w:tcMar>
              <w:top w:type="dxa" w:w="90"/>
              <w:left w:type="dxa" w:w="120"/>
              <w:bottom w:type="dxa" w:w="90"/>
              <w:right w:type="dxa" w:w="120"/>
            </w:tcMar>
          </w:tcPr>
          <w:p>
            <w:pPr>
              <w:spacing w:after="10" w:before="40"/>
              <w:jc w:val="center"/>
            </w:pPr>
            <w:r>
              <w:rPr>
                <w:rFonts w:ascii="Arial" w:cs="Arial" w:eastAsia="Arial" w:hAnsi="Arial"/>
                <w:b/>
                <w:bCs/>
                <w:color w:val="0284C7"/>
                <w:sz w:val="24"/>
                <w:szCs w:val="24"/>
              </w:rPr>
              <w:t xml:space="preserve">$22.4M</w:t>
            </w:r>
          </w:p>
          <w:p>
            <w:pPr>
              <w:spacing w:after="40" w:before="0"/>
              <w:jc w:val="center"/>
            </w:pPr>
            <w:r>
              <w:rPr>
                <w:rFonts w:ascii="Courier New" w:cs="Courier New" w:eastAsia="Courier New" w:hAnsi="Courier New"/>
                <w:color w:val="6B7280"/>
                <w:sz w:val="14"/>
                <w:szCs w:val="14"/>
              </w:rPr>
              <w:t xml:space="preserve">EXTRACTED (PAPER)</w:t>
            </w:r>
          </w:p>
        </w:tc>
      </w:tr>
      <w:tr>
        <w:tc>
          <w:tcPr>
            <w:tcW w:type="dxa" w:w="9360"/>
            <w:tcBorders>
              <w:top w:val="single" w:color="D1D5DB" w:sz="1"/>
              <w:left w:val="single" w:color="D1D5DB" w:sz="1"/>
              <w:bottom w:val="single" w:color="D1D5DB" w:sz="1"/>
              <w:right w:val="single" w:color="D1D5DB" w:sz="1"/>
            </w:tcBorders>
            <w:shd w:fill="F0F9FF" w:val="clear"/>
            <w:tcMar>
              <w:top w:type="dxa" w:w="80"/>
              <w:left w:type="dxa" w:w="180"/>
              <w:bottom w:type="dxa" w:w="80"/>
              <w:right w:type="dxa" w:w="180"/>
            </w:tcMar>
          </w:tcPr>
          <w:p>
            <w:pPr>
              <w:spacing w:after="30" w:before="30"/>
            </w:pPr>
            <w:r>
              <w:rPr>
                <w:rFonts w:ascii="Courier New" w:cs="Courier New" w:eastAsia="Courier New" w:hAnsi="Courier New"/>
                <w:b/>
                <w:bCs/>
                <w:color w:val="0284C7"/>
                <w:sz w:val="17"/>
                <w:szCs w:val="17"/>
              </w:rPr>
              <w:t xml:space="preserve">● Very Low Risk  ·  ● 100% Automatable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059669" w:val="clear"/>
            <w:tcMar>
              <w:top w:type="dxa" w:w="120"/>
              <w:left w:type="dxa" w:w="180"/>
              <w:bottom w:type="dxa" w:w="120"/>
              <w:right w:type="dxa" w:w="180"/>
            </w:tcMar>
          </w:tcPr>
          <w:p>
            <w:pPr>
              <w:spacing w:after="40" w:before="40"/>
            </w:pPr>
            <w:r>
              <w:rPr>
                <w:rFonts w:ascii="Arial" w:cs="Arial" w:eastAsia="Arial" w:hAnsi="Arial"/>
                <w:color w:val="FFFFFF"/>
                <w:sz w:val="28"/>
                <w:szCs w:val="28"/>
              </w:rPr>
              <w:t xml:space="preserve">🪙  </w:t>
            </w:r>
            <w:r>
              <w:rPr>
                <w:rFonts w:ascii="Courier New" w:cs="Courier New" w:eastAsia="Courier New" w:hAnsi="Courier New"/>
                <w:b/>
                <w:bCs/>
                <w:color w:val="E0F2FE"/>
                <w:sz w:val="18"/>
                <w:szCs w:val="18"/>
              </w:rPr>
              <w:t xml:space="preserve">Group 2 · MINT-01 to MINT-06</w:t>
            </w:r>
            <w:r>
              <w:rPr>
                <w:rFonts w:ascii="Arial" w:cs="Arial" w:eastAsia="Arial" w:hAnsi="Arial"/>
                <w:b/>
                <w:bCs/>
                <w:color w:val="FFFFFF"/>
                <w:sz w:val="26"/>
                <w:szCs w:val="26"/>
              </w:rPr>
              <w:t xml:space="preserve">  ·  Minting &amp; Market Making</w:t>
            </w:r>
          </w:p>
        </w:tc>
      </w:tr>
      <w:tr>
        <w:tc>
          <w:tcPr>
            <w:tcW w:type="dxa" w:w="9360"/>
            <w:tcBorders>
              <w:top w:val="single" w:color="D1D5DB" w:sz="1"/>
              <w:left w:val="single" w:color="D1D5DB" w:sz="1"/>
              <w:bottom w:val="single" w:color="D1D5DB" w:sz="1"/>
              <w:right w:val="single" w:color="D1D5DB" w:sz="1"/>
            </w:tcBorders>
            <w:shd w:fill="F8FAFF" w:val="clear"/>
            <w:tcMar>
              <w:top w:type="dxa" w:w="120"/>
              <w:left w:type="dxa" w:w="180"/>
              <w:bottom w:type="dxa" w:w="120"/>
              <w:right w:type="dxa" w:w="180"/>
            </w:tcMar>
          </w:tcPr>
          <w:p>
            <w:pPr>
              <w:spacing w:after="40" w:before="40"/>
            </w:pPr>
            <w:r>
              <w:rPr>
                <w:rFonts w:ascii="Arial" w:cs="Arial" w:eastAsia="Arial" w:hAnsi="Arial"/>
                <w:color w:val="374151"/>
                <w:sz w:val="21"/>
                <w:szCs w:val="21"/>
              </w:rPr>
              <w:t xml:space="preserve">Liquidity provision by capturing the spread between buyers and sellers, combined with the Polymarket LP Rewards program. With premium positioning (+0.75c above midpoint), the strategy projects an APY of up to ~40.6%/month with 30-cycle compounding.</w:t>
            </w:r>
          </w:p>
        </w:tc>
      </w:tr>
      <w:tr>
        <w:tc>
          <w:tcPr>
            <w:tcW w:type="dxa" w:w="9360"/>
            <w:tcBorders>
              <w:top w:val="single" w:color="D1D5DB" w:sz="1"/>
              <w:left w:val="single" w:color="D1D5DB" w:sz="1"/>
              <w:bottom w:val="single" w:color="D1D5DB" w:sz="1"/>
              <w:right w:val="single" w:color="D1D5DB" w:sz="1"/>
            </w:tcBorders>
            <w:shd w:fill="F0F4FF" w:val="clear"/>
            <w:tcMar>
              <w:top w:type="dxa" w:w="100"/>
              <w:left w:type="dxa" w:w="180"/>
              <w:bottom w:type="dxa" w:w="100"/>
              <w:right w:type="dxa" w:w="180"/>
            </w:tcMar>
          </w:tcPr>
          <w:p>
            <w:pPr>
              <w:spacing w:after="30" w:before="30"/>
            </w:pPr>
            <w:r>
              <w:rPr>
                <w:rFonts w:ascii="Courier New" w:cs="Courier New" w:eastAsia="Courier New" w:hAnsi="Courier New"/>
                <w:b/>
                <w:bCs/>
                <w:color w:val="059669"/>
                <w:sz w:val="16"/>
                <w:szCs w:val="16"/>
              </w:rPr>
              <w:t xml:space="preserve">STRATEGIES: </w:t>
            </w:r>
            <w:r>
              <w:rPr>
                <w:rFonts w:ascii="Courier New" w:cs="Courier New" w:eastAsia="Courier New" w:hAnsi="Courier New"/>
                <w:color w:val="4B5563"/>
                <w:sz w:val="16"/>
                <w:szCs w:val="16"/>
              </w:rPr>
              <w:t xml:space="preserve">MINT-01 Single $1,000  ·  MINT-02 Two-part $500+$500  ·  MINT-03 Midpoint (Sc. A)  ·  MINT-04 Premium 0.75c (Sc. B)  ·  MINT-05 Sweet Spot  ·  MINT-06 Multi-Cycle Compounding</w:t>
            </w:r>
          </w:p>
        </w:tc>
      </w:tr>
      <w:tr>
        <w:tc>
          <w:tcPr>
            <w:tcW w:type="dxa" w:w="3120"/>
            <w:tcBorders>
              <w:top w:val="single" w:color="D1D5DB" w:sz="1"/>
              <w:left w:val="single" w:color="D1D5DB" w:sz="1"/>
              <w:bottom w:val="single" w:color="D1D5DB" w:sz="1"/>
              <w:right w:val="single" w:color="D1D5DB" w:sz="1"/>
            </w:tcBorders>
            <w:shd w:fill="EEF4FF" w:val="clear"/>
            <w:tcMar>
              <w:top w:type="dxa" w:w="90"/>
              <w:left w:type="dxa" w:w="120"/>
              <w:bottom w:type="dxa" w:w="90"/>
              <w:right w:type="dxa" w:w="120"/>
            </w:tcMar>
          </w:tcPr>
          <w:p>
            <w:pPr>
              <w:spacing w:after="10" w:before="40"/>
              <w:jc w:val="center"/>
            </w:pPr>
            <w:r>
              <w:rPr>
                <w:rFonts w:ascii="Arial" w:cs="Arial" w:eastAsia="Arial" w:hAnsi="Arial"/>
                <w:b/>
                <w:bCs/>
                <w:color w:val="059669"/>
                <w:sz w:val="24"/>
                <w:szCs w:val="24"/>
              </w:rPr>
              <w:t xml:space="preserve">1.33%</w:t>
            </w:r>
          </w:p>
          <w:p>
            <w:pPr>
              <w:spacing w:after="40" w:before="0"/>
              <w:jc w:val="center"/>
            </w:pPr>
            <w:r>
              <w:rPr>
                <w:rFonts w:ascii="Courier New" w:cs="Courier New" w:eastAsia="Courier New" w:hAnsi="Courier New"/>
                <w:color w:val="6B7280"/>
                <w:sz w:val="14"/>
                <w:szCs w:val="14"/>
              </w:rPr>
              <w:t xml:space="preserve">BASE ROI / 24H CYCLE</w:t>
            </w:r>
          </w:p>
        </w:tc>
        <w:tc>
          <w:tcPr>
            <w:tcW w:type="dxa" w:w="3120"/>
            <w:tcBorders>
              <w:top w:val="single" w:color="D1D5DB" w:sz="1"/>
              <w:left w:val="single" w:color="D1D5DB" w:sz="1"/>
              <w:bottom w:val="single" w:color="D1D5DB" w:sz="1"/>
              <w:right w:val="single" w:color="D1D5DB" w:sz="1"/>
            </w:tcBorders>
            <w:shd w:fill="EEF4FF" w:val="clear"/>
            <w:tcMar>
              <w:top w:type="dxa" w:w="90"/>
              <w:left w:type="dxa" w:w="120"/>
              <w:bottom w:type="dxa" w:w="90"/>
              <w:right w:type="dxa" w:w="120"/>
            </w:tcMar>
          </w:tcPr>
          <w:p>
            <w:pPr>
              <w:spacing w:after="10" w:before="40"/>
              <w:jc w:val="center"/>
            </w:pPr>
            <w:r>
              <w:rPr>
                <w:rFonts w:ascii="Arial" w:cs="Arial" w:eastAsia="Arial" w:hAnsi="Arial"/>
                <w:b/>
                <w:bCs/>
                <w:color w:val="059669"/>
                <w:sz w:val="24"/>
                <w:szCs w:val="24"/>
              </w:rPr>
              <w:t xml:space="preserve">~40.6%</w:t>
            </w:r>
          </w:p>
          <w:p>
            <w:pPr>
              <w:spacing w:after="40" w:before="0"/>
              <w:jc w:val="center"/>
            </w:pPr>
            <w:r>
              <w:rPr>
                <w:rFonts w:ascii="Courier New" w:cs="Courier New" w:eastAsia="Courier New" w:hAnsi="Courier New"/>
                <w:color w:val="6B7280"/>
                <w:sz w:val="14"/>
                <w:szCs w:val="14"/>
              </w:rPr>
              <w:t xml:space="preserve">PROJECTED MONTHLY APY</w:t>
            </w:r>
          </w:p>
        </w:tc>
        <w:tc>
          <w:tcPr>
            <w:tcW w:type="dxa" w:w="3120"/>
            <w:tcBorders>
              <w:top w:val="single" w:color="D1D5DB" w:sz="1"/>
              <w:left w:val="single" w:color="D1D5DB" w:sz="1"/>
              <w:bottom w:val="single" w:color="D1D5DB" w:sz="1"/>
              <w:right w:val="single" w:color="D1D5DB" w:sz="1"/>
            </w:tcBorders>
            <w:shd w:fill="EEF4FF" w:val="clear"/>
            <w:tcMar>
              <w:top w:type="dxa" w:w="90"/>
              <w:left w:type="dxa" w:w="120"/>
              <w:bottom w:type="dxa" w:w="90"/>
              <w:right w:type="dxa" w:w="120"/>
            </w:tcMar>
          </w:tcPr>
          <w:p>
            <w:pPr>
              <w:spacing w:after="10" w:before="40"/>
              <w:jc w:val="center"/>
            </w:pPr>
            <w:r>
              <w:rPr>
                <w:rFonts w:ascii="Arial" w:cs="Arial" w:eastAsia="Arial" w:hAnsi="Arial"/>
                <w:b/>
                <w:bCs/>
                <w:color w:val="059669"/>
                <w:sz w:val="24"/>
                <w:szCs w:val="24"/>
              </w:rPr>
              <w:t xml:space="preserve">7.8×</w:t>
            </w:r>
          </w:p>
          <w:p>
            <w:pPr>
              <w:spacing w:after="40" w:before="0"/>
              <w:jc w:val="center"/>
            </w:pPr>
            <w:r>
              <w:rPr>
                <w:rFonts w:ascii="Courier New" w:cs="Courier New" w:eastAsia="Courier New" w:hAnsi="Courier New"/>
                <w:color w:val="6B7280"/>
                <w:sz w:val="14"/>
                <w:szCs w:val="14"/>
              </w:rPr>
              <w:t xml:space="preserve">CAPITAL MULTIPLIER 12MO</w:t>
            </w:r>
          </w:p>
        </w:tc>
      </w:tr>
      <w:tr>
        <w:tc>
          <w:tcPr>
            <w:tcW w:type="dxa" w:w="9360"/>
            <w:tcBorders>
              <w:top w:val="single" w:color="D1D5DB" w:sz="1"/>
              <w:left w:val="single" w:color="D1D5DB" w:sz="1"/>
              <w:bottom w:val="single" w:color="D1D5DB" w:sz="1"/>
              <w:right w:val="single" w:color="D1D5DB" w:sz="1"/>
            </w:tcBorders>
            <w:shd w:fill="F0F9FF" w:val="clear"/>
            <w:tcMar>
              <w:top w:type="dxa" w:w="80"/>
              <w:left w:type="dxa" w:w="180"/>
              <w:bottom w:type="dxa" w:w="80"/>
              <w:right w:type="dxa" w:w="180"/>
            </w:tcMar>
          </w:tcPr>
          <w:p>
            <w:pPr>
              <w:spacing w:after="30" w:before="30"/>
            </w:pPr>
            <w:r>
              <w:rPr>
                <w:rFonts w:ascii="Courier New" w:cs="Courier New" w:eastAsia="Courier New" w:hAnsi="Courier New"/>
                <w:b/>
                <w:bCs/>
                <w:color w:val="059669"/>
                <w:sz w:val="17"/>
                <w:szCs w:val="17"/>
              </w:rPr>
              <w:t xml:space="preserve">● Low Risk  ·  ● Capital min: $500</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D97706" w:val="clear"/>
            <w:tcMar>
              <w:top w:type="dxa" w:w="120"/>
              <w:left w:type="dxa" w:w="180"/>
              <w:bottom w:type="dxa" w:w="120"/>
              <w:right w:type="dxa" w:w="180"/>
            </w:tcMar>
          </w:tcPr>
          <w:p>
            <w:pPr>
              <w:spacing w:after="40" w:before="40"/>
            </w:pPr>
            <w:r>
              <w:rPr>
                <w:rFonts w:ascii="Arial" w:cs="Arial" w:eastAsia="Arial" w:hAnsi="Arial"/>
                <w:color w:val="FFFFFF"/>
                <w:sz w:val="28"/>
                <w:szCs w:val="28"/>
              </w:rPr>
              <w:t xml:space="preserve">📈  </w:t>
            </w:r>
            <w:r>
              <w:rPr>
                <w:rFonts w:ascii="Courier New" w:cs="Courier New" w:eastAsia="Courier New" w:hAnsi="Courier New"/>
                <w:b/>
                <w:bCs/>
                <w:color w:val="E0F2FE"/>
                <w:sz w:val="18"/>
                <w:szCs w:val="18"/>
              </w:rPr>
              <w:t xml:space="preserve">Group 3 · TRADE-01 to TRADE-04</w:t>
            </w:r>
            <w:r>
              <w:rPr>
                <w:rFonts w:ascii="Arial" w:cs="Arial" w:eastAsia="Arial" w:hAnsi="Arial"/>
                <w:b/>
                <w:bCs/>
                <w:color w:val="FFFFFF"/>
                <w:sz w:val="26"/>
                <w:szCs w:val="26"/>
              </w:rPr>
              <w:t xml:space="preserve">  ·  Active Trading</w:t>
            </w:r>
          </w:p>
        </w:tc>
      </w:tr>
      <w:tr>
        <w:tc>
          <w:tcPr>
            <w:tcW w:type="dxa" w:w="9360"/>
            <w:tcBorders>
              <w:top w:val="single" w:color="D1D5DB" w:sz="1"/>
              <w:left w:val="single" w:color="D1D5DB" w:sz="1"/>
              <w:bottom w:val="single" w:color="D1D5DB" w:sz="1"/>
              <w:right w:val="single" w:color="D1D5DB" w:sz="1"/>
            </w:tcBorders>
            <w:shd w:fill="F8FAFF" w:val="clear"/>
            <w:tcMar>
              <w:top w:type="dxa" w:w="120"/>
              <w:left w:type="dxa" w:w="180"/>
              <w:bottom w:type="dxa" w:w="120"/>
              <w:right w:type="dxa" w:w="180"/>
            </w:tcMar>
          </w:tcPr>
          <w:p>
            <w:pPr>
              <w:spacing w:after="40" w:before="40"/>
            </w:pPr>
            <w:r>
              <w:rPr>
                <w:rFonts w:ascii="Arial" w:cs="Arial" w:eastAsia="Arial" w:hAnsi="Arial"/>
                <w:color w:val="374151"/>
                <w:sz w:val="21"/>
                <w:szCs w:val="21"/>
              </w:rPr>
              <w:t xml:space="preserve">Profits from price fluctuation BEFORE the event resolves. Gains come from price movement, not the final outcome. Includes news catalyst trading, momentum, contrarian plays, and exploitation of domain-expert information asymmetry.</w:t>
            </w:r>
          </w:p>
        </w:tc>
      </w:tr>
      <w:tr>
        <w:tc>
          <w:tcPr>
            <w:tcW w:type="dxa" w:w="9360"/>
            <w:tcBorders>
              <w:top w:val="single" w:color="D1D5DB" w:sz="1"/>
              <w:left w:val="single" w:color="D1D5DB" w:sz="1"/>
              <w:bottom w:val="single" w:color="D1D5DB" w:sz="1"/>
              <w:right w:val="single" w:color="D1D5DB" w:sz="1"/>
            </w:tcBorders>
            <w:shd w:fill="F0F4FF" w:val="clear"/>
            <w:tcMar>
              <w:top w:type="dxa" w:w="100"/>
              <w:left w:type="dxa" w:w="180"/>
              <w:bottom w:type="dxa" w:w="100"/>
              <w:right w:type="dxa" w:w="180"/>
            </w:tcMar>
          </w:tcPr>
          <w:p>
            <w:pPr>
              <w:spacing w:after="30" w:before="30"/>
            </w:pPr>
            <w:r>
              <w:rPr>
                <w:rFonts w:ascii="Courier New" w:cs="Courier New" w:eastAsia="Courier New" w:hAnsi="Courier New"/>
                <w:b/>
                <w:bCs/>
                <w:color w:val="D97706"/>
                <w:sz w:val="16"/>
                <w:szCs w:val="16"/>
              </w:rPr>
              <w:t xml:space="preserve">STRATEGIES: </w:t>
            </w:r>
            <w:r>
              <w:rPr>
                <w:rFonts w:ascii="Courier New" w:cs="Courier New" w:eastAsia="Courier New" w:hAnsi="Courier New"/>
                <w:color w:val="4B5563"/>
                <w:sz w:val="16"/>
                <w:szCs w:val="16"/>
              </w:rPr>
              <w:t xml:space="preserve">TRADE-01 News Catalyst  ·  TRADE-02 Momentum  ·  TRADE-03 Contrarian (No Bias)  ·  TRADE-04 Information Asymmetry</w:t>
            </w:r>
          </w:p>
        </w:tc>
      </w:tr>
      <w:tr>
        <w:tc>
          <w:tcPr>
            <w:tcW w:type="dxa" w:w="3120"/>
            <w:tcBorders>
              <w:top w:val="single" w:color="D1D5DB" w:sz="1"/>
              <w:left w:val="single" w:color="D1D5DB" w:sz="1"/>
              <w:bottom w:val="single" w:color="D1D5DB" w:sz="1"/>
              <w:right w:val="single" w:color="D1D5DB" w:sz="1"/>
            </w:tcBorders>
            <w:shd w:fill="EEF4FF" w:val="clear"/>
            <w:tcMar>
              <w:top w:type="dxa" w:w="90"/>
              <w:left w:type="dxa" w:w="120"/>
              <w:bottom w:type="dxa" w:w="90"/>
              <w:right w:type="dxa" w:w="120"/>
            </w:tcMar>
          </w:tcPr>
          <w:p>
            <w:pPr>
              <w:spacing w:after="10" w:before="40"/>
              <w:jc w:val="center"/>
            </w:pPr>
            <w:r>
              <w:rPr>
                <w:rFonts w:ascii="Arial" w:cs="Arial" w:eastAsia="Arial" w:hAnsi="Arial"/>
                <w:b/>
                <w:bCs/>
                <w:color w:val="D97706"/>
                <w:sz w:val="24"/>
                <w:szCs w:val="24"/>
              </w:rPr>
              <w:t xml:space="preserve">Variable</w:t>
            </w:r>
          </w:p>
          <w:p>
            <w:pPr>
              <w:spacing w:after="40" w:before="0"/>
              <w:jc w:val="center"/>
            </w:pPr>
            <w:r>
              <w:rPr>
                <w:rFonts w:ascii="Courier New" w:cs="Courier New" w:eastAsia="Courier New" w:hAnsi="Courier New"/>
                <w:color w:val="6B7280"/>
                <w:sz w:val="14"/>
                <w:szCs w:val="14"/>
              </w:rPr>
              <w:t xml:space="preserve">ROI (EVENT-DEPENDENT)</w:t>
            </w:r>
          </w:p>
        </w:tc>
        <w:tc>
          <w:tcPr>
            <w:tcW w:type="dxa" w:w="3120"/>
            <w:tcBorders>
              <w:top w:val="single" w:color="D1D5DB" w:sz="1"/>
              <w:left w:val="single" w:color="D1D5DB" w:sz="1"/>
              <w:bottom w:val="single" w:color="D1D5DB" w:sz="1"/>
              <w:right w:val="single" w:color="D1D5DB" w:sz="1"/>
            </w:tcBorders>
            <w:shd w:fill="EEF4FF" w:val="clear"/>
            <w:tcMar>
              <w:top w:type="dxa" w:w="90"/>
              <w:left w:type="dxa" w:w="120"/>
              <w:bottom w:type="dxa" w:w="90"/>
              <w:right w:type="dxa" w:w="120"/>
            </w:tcMar>
          </w:tcPr>
          <w:p>
            <w:pPr>
              <w:spacing w:after="10" w:before="40"/>
              <w:jc w:val="center"/>
            </w:pPr>
            <w:r>
              <w:rPr>
                <w:rFonts w:ascii="Arial" w:cs="Arial" w:eastAsia="Arial" w:hAnsi="Arial"/>
                <w:b/>
                <w:bCs/>
                <w:color w:val="D97706"/>
                <w:sz w:val="24"/>
                <w:szCs w:val="24"/>
              </w:rPr>
              <w:t xml:space="preserve">$100</w:t>
            </w:r>
          </w:p>
          <w:p>
            <w:pPr>
              <w:spacing w:after="40" w:before="0"/>
              <w:jc w:val="center"/>
            </w:pPr>
            <w:r>
              <w:rPr>
                <w:rFonts w:ascii="Courier New" w:cs="Courier New" w:eastAsia="Courier New" w:hAnsi="Courier New"/>
                <w:color w:val="6B7280"/>
                <w:sz w:val="14"/>
                <w:szCs w:val="14"/>
              </w:rPr>
              <w:t xml:space="preserve">MINIMUM CAPITAL</w:t>
            </w:r>
          </w:p>
        </w:tc>
        <w:tc>
          <w:tcPr>
            <w:tcW w:type="dxa" w:w="3120"/>
            <w:tcBorders>
              <w:top w:val="single" w:color="D1D5DB" w:sz="1"/>
              <w:left w:val="single" w:color="D1D5DB" w:sz="1"/>
              <w:bottom w:val="single" w:color="D1D5DB" w:sz="1"/>
              <w:right w:val="single" w:color="D1D5DB" w:sz="1"/>
            </w:tcBorders>
            <w:shd w:fill="EEF4FF" w:val="clear"/>
            <w:tcMar>
              <w:top w:type="dxa" w:w="90"/>
              <w:left w:type="dxa" w:w="120"/>
              <w:bottom w:type="dxa" w:w="90"/>
              <w:right w:type="dxa" w:w="120"/>
            </w:tcMar>
          </w:tcPr>
          <w:p>
            <w:pPr>
              <w:spacing w:after="10" w:before="40"/>
              <w:jc w:val="center"/>
            </w:pPr>
            <w:r>
              <w:rPr>
                <w:rFonts w:ascii="Arial" w:cs="Arial" w:eastAsia="Arial" w:hAnsi="Arial"/>
                <w:b/>
                <w:bCs/>
                <w:color w:val="D97706"/>
                <w:sz w:val="24"/>
                <w:szCs w:val="24"/>
              </w:rPr>
              <w:t xml:space="preserve">Partial</w:t>
            </w:r>
          </w:p>
          <w:p>
            <w:pPr>
              <w:spacing w:after="40" w:before="0"/>
              <w:jc w:val="center"/>
            </w:pPr>
            <w:r>
              <w:rPr>
                <w:rFonts w:ascii="Courier New" w:cs="Courier New" w:eastAsia="Courier New" w:hAnsi="Courier New"/>
                <w:color w:val="6B7280"/>
                <w:sz w:val="14"/>
                <w:szCs w:val="14"/>
              </w:rPr>
              <w:t xml:space="preserve">AUTOMATABLE</w:t>
            </w:r>
          </w:p>
        </w:tc>
      </w:tr>
      <w:tr>
        <w:tc>
          <w:tcPr>
            <w:tcW w:type="dxa" w:w="9360"/>
            <w:tcBorders>
              <w:top w:val="single" w:color="D1D5DB" w:sz="1"/>
              <w:left w:val="single" w:color="D1D5DB" w:sz="1"/>
              <w:bottom w:val="single" w:color="D1D5DB" w:sz="1"/>
              <w:right w:val="single" w:color="D1D5DB" w:sz="1"/>
            </w:tcBorders>
            <w:shd w:fill="F0F9FF" w:val="clear"/>
            <w:tcMar>
              <w:top w:type="dxa" w:w="80"/>
              <w:left w:type="dxa" w:w="180"/>
              <w:bottom w:type="dxa" w:w="80"/>
              <w:right w:type="dxa" w:w="180"/>
            </w:tcMar>
          </w:tcPr>
          <w:p>
            <w:pPr>
              <w:spacing w:after="30" w:before="30"/>
            </w:pPr>
            <w:r>
              <w:rPr>
                <w:rFonts w:ascii="Courier New" w:cs="Courier New" w:eastAsia="Courier New" w:hAnsi="Courier New"/>
                <w:b/>
                <w:bCs/>
                <w:color w:val="D97706"/>
                <w:sz w:val="17"/>
                <w:szCs w:val="17"/>
              </w:rPr>
              <w:t xml:space="preserve">● Moderate Risk</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7C3AED" w:val="clear"/>
            <w:tcMar>
              <w:top w:type="dxa" w:w="120"/>
              <w:left w:type="dxa" w:w="180"/>
              <w:bottom w:type="dxa" w:w="120"/>
              <w:right w:type="dxa" w:w="180"/>
            </w:tcMar>
          </w:tcPr>
          <w:p>
            <w:pPr>
              <w:spacing w:after="40" w:before="40"/>
            </w:pPr>
            <w:r>
              <w:rPr>
                <w:rFonts w:ascii="Arial" w:cs="Arial" w:eastAsia="Arial" w:hAnsi="Arial"/>
                <w:color w:val="FFFFFF"/>
                <w:sz w:val="28"/>
                <w:szCs w:val="28"/>
              </w:rPr>
              <w:t xml:space="preserve">🛡️  </w:t>
            </w:r>
            <w:r>
              <w:rPr>
                <w:rFonts w:ascii="Courier New" w:cs="Courier New" w:eastAsia="Courier New" w:hAnsi="Courier New"/>
                <w:b/>
                <w:bCs/>
                <w:color w:val="E0F2FE"/>
                <w:sz w:val="18"/>
                <w:szCs w:val="18"/>
              </w:rPr>
              <w:t xml:space="preserve">Group 4 · HEDGE-01 to HEDGE-03</w:t>
            </w:r>
            <w:r>
              <w:rPr>
                <w:rFonts w:ascii="Arial" w:cs="Arial" w:eastAsia="Arial" w:hAnsi="Arial"/>
                <w:b/>
                <w:bCs/>
                <w:color w:val="FFFFFF"/>
                <w:sz w:val="26"/>
                <w:szCs w:val="26"/>
              </w:rPr>
              <w:t xml:space="preserve">  ·  Hedging / Coverage</w:t>
            </w:r>
          </w:p>
        </w:tc>
      </w:tr>
      <w:tr>
        <w:tc>
          <w:tcPr>
            <w:tcW w:type="dxa" w:w="9360"/>
            <w:tcBorders>
              <w:top w:val="single" w:color="D1D5DB" w:sz="1"/>
              <w:left w:val="single" w:color="D1D5DB" w:sz="1"/>
              <w:bottom w:val="single" w:color="D1D5DB" w:sz="1"/>
              <w:right w:val="single" w:color="D1D5DB" w:sz="1"/>
            </w:tcBorders>
            <w:shd w:fill="F8FAFF" w:val="clear"/>
            <w:tcMar>
              <w:top w:type="dxa" w:w="120"/>
              <w:left w:type="dxa" w:w="180"/>
              <w:bottom w:type="dxa" w:w="120"/>
              <w:right w:type="dxa" w:w="180"/>
            </w:tcMar>
          </w:tcPr>
          <w:p>
            <w:pPr>
              <w:spacing w:after="40" w:before="40"/>
            </w:pPr>
            <w:r>
              <w:rPr>
                <w:rFonts w:ascii="Arial" w:cs="Arial" w:eastAsia="Arial" w:hAnsi="Arial"/>
                <w:color w:val="374151"/>
                <w:sz w:val="21"/>
                <w:szCs w:val="21"/>
              </w:rPr>
              <w:t xml:space="preserve">Polymarket as a financial protection instrument. The goal is not to profit here — it is used as an insurance policy to protect external assets or businesses from adverse events. Applicable to crypto portfolios, companies with regulatory or climate exposure.</w:t>
            </w:r>
          </w:p>
        </w:tc>
      </w:tr>
      <w:tr>
        <w:tc>
          <w:tcPr>
            <w:tcW w:type="dxa" w:w="9360"/>
            <w:tcBorders>
              <w:top w:val="single" w:color="D1D5DB" w:sz="1"/>
              <w:left w:val="single" w:color="D1D5DB" w:sz="1"/>
              <w:bottom w:val="single" w:color="D1D5DB" w:sz="1"/>
              <w:right w:val="single" w:color="D1D5DB" w:sz="1"/>
            </w:tcBorders>
            <w:shd w:fill="F0F4FF" w:val="clear"/>
            <w:tcMar>
              <w:top w:type="dxa" w:w="100"/>
              <w:left w:type="dxa" w:w="180"/>
              <w:bottom w:type="dxa" w:w="100"/>
              <w:right w:type="dxa" w:w="180"/>
            </w:tcMar>
          </w:tcPr>
          <w:p>
            <w:pPr>
              <w:spacing w:after="30" w:before="30"/>
            </w:pPr>
            <w:r>
              <w:rPr>
                <w:rFonts w:ascii="Courier New" w:cs="Courier New" w:eastAsia="Courier New" w:hAnsi="Courier New"/>
                <w:b/>
                <w:bCs/>
                <w:color w:val="7C3AED"/>
                <w:sz w:val="16"/>
                <w:szCs w:val="16"/>
              </w:rPr>
              <w:t xml:space="preserve">STRATEGIES: </w:t>
            </w:r>
            <w:r>
              <w:rPr>
                <w:rFonts w:ascii="Courier New" w:cs="Courier New" w:eastAsia="Courier New" w:hAnsi="Courier New"/>
                <w:color w:val="4B5563"/>
                <w:sz w:val="16"/>
                <w:szCs w:val="16"/>
              </w:rPr>
              <w:t xml:space="preserve">HEDGE-01 Crypto Portfolio  ·  HEDGE-02 Business Event Insurance  ·  HEDGE-03 Dynamic Coverage</w:t>
            </w:r>
          </w:p>
        </w:tc>
      </w:tr>
      <w:tr>
        <w:tc>
          <w:tcPr>
            <w:tcW w:type="dxa" w:w="4680"/>
            <w:tcBorders>
              <w:top w:val="single" w:color="D1D5DB" w:sz="1"/>
              <w:left w:val="single" w:color="D1D5DB" w:sz="1"/>
              <w:bottom w:val="single" w:color="D1D5DB" w:sz="1"/>
              <w:right w:val="single" w:color="D1D5DB" w:sz="1"/>
            </w:tcBorders>
            <w:shd w:fill="EEF4FF" w:val="clear"/>
            <w:tcMar>
              <w:top w:type="dxa" w:w="90"/>
              <w:left w:type="dxa" w:w="120"/>
              <w:bottom w:type="dxa" w:w="90"/>
              <w:right w:type="dxa" w:w="120"/>
            </w:tcMar>
          </w:tcPr>
          <w:p>
            <w:pPr>
              <w:spacing w:after="10" w:before="40"/>
              <w:jc w:val="center"/>
            </w:pPr>
            <w:r>
              <w:rPr>
                <w:rFonts w:ascii="Arial" w:cs="Arial" w:eastAsia="Arial" w:hAnsi="Arial"/>
                <w:b/>
                <w:bCs/>
                <w:color w:val="7C3AED"/>
                <w:sz w:val="24"/>
                <w:szCs w:val="24"/>
              </w:rPr>
              <w:t xml:space="preserve">Compens.</w:t>
            </w:r>
          </w:p>
          <w:p>
            <w:pPr>
              <w:spacing w:after="40" w:before="0"/>
              <w:jc w:val="center"/>
            </w:pPr>
            <w:r>
              <w:rPr>
                <w:rFonts w:ascii="Courier New" w:cs="Courier New" w:eastAsia="Courier New" w:hAnsi="Courier New"/>
                <w:color w:val="6B7280"/>
                <w:sz w:val="14"/>
                <w:szCs w:val="14"/>
              </w:rPr>
              <w:t xml:space="preserve">COMPENSATORY GAIN</w:t>
            </w:r>
          </w:p>
        </w:tc>
        <w:tc>
          <w:tcPr>
            <w:tcW w:type="dxa" w:w="4680"/>
            <w:tcBorders>
              <w:top w:val="single" w:color="D1D5DB" w:sz="1"/>
              <w:left w:val="single" w:color="D1D5DB" w:sz="1"/>
              <w:bottom w:val="single" w:color="D1D5DB" w:sz="1"/>
              <w:right w:val="single" w:color="D1D5DB" w:sz="1"/>
            </w:tcBorders>
            <w:shd w:fill="EEF4FF" w:val="clear"/>
            <w:tcMar>
              <w:top w:type="dxa" w:w="90"/>
              <w:left w:type="dxa" w:w="120"/>
              <w:bottom w:type="dxa" w:w="90"/>
              <w:right w:type="dxa" w:w="120"/>
            </w:tcMar>
          </w:tcPr>
          <w:p>
            <w:pPr>
              <w:spacing w:after="10" w:before="40"/>
              <w:jc w:val="center"/>
            </w:pPr>
            <w:r>
              <w:rPr>
                <w:rFonts w:ascii="Arial" w:cs="Arial" w:eastAsia="Arial" w:hAnsi="Arial"/>
                <w:b/>
                <w:bCs/>
                <w:color w:val="7C3AED"/>
                <w:sz w:val="24"/>
                <w:szCs w:val="24"/>
              </w:rPr>
              <w:t xml:space="preserve">$500</w:t>
            </w:r>
          </w:p>
          <w:p>
            <w:pPr>
              <w:spacing w:after="40" w:before="0"/>
              <w:jc w:val="center"/>
            </w:pPr>
            <w:r>
              <w:rPr>
                <w:rFonts w:ascii="Courier New" w:cs="Courier New" w:eastAsia="Courier New" w:hAnsi="Courier New"/>
                <w:color w:val="6B7280"/>
                <w:sz w:val="14"/>
                <w:szCs w:val="14"/>
              </w:rPr>
              <w:t xml:space="preserve">MINIMUM CAPITAL</w:t>
            </w:r>
          </w:p>
        </w:tc>
      </w:tr>
      <w:tr>
        <w:tc>
          <w:tcPr>
            <w:tcW w:type="dxa" w:w="9360"/>
            <w:tcBorders>
              <w:top w:val="single" w:color="D1D5DB" w:sz="1"/>
              <w:left w:val="single" w:color="D1D5DB" w:sz="1"/>
              <w:bottom w:val="single" w:color="D1D5DB" w:sz="1"/>
              <w:right w:val="single" w:color="D1D5DB" w:sz="1"/>
            </w:tcBorders>
            <w:shd w:fill="F0F9FF" w:val="clear"/>
            <w:tcMar>
              <w:top w:type="dxa" w:w="80"/>
              <w:left w:type="dxa" w:w="180"/>
              <w:bottom w:type="dxa" w:w="80"/>
              <w:right w:type="dxa" w:w="180"/>
            </w:tcMar>
          </w:tcPr>
          <w:p>
            <w:pPr>
              <w:spacing w:after="30" w:before="30"/>
            </w:pPr>
            <w:r>
              <w:rPr>
                <w:rFonts w:ascii="Courier New" w:cs="Courier New" w:eastAsia="Courier New" w:hAnsi="Courier New"/>
                <w:b/>
                <w:bCs/>
                <w:color w:val="7C3AED"/>
                <w:sz w:val="17"/>
                <w:szCs w:val="17"/>
              </w:rPr>
              <w:t xml:space="preserve">● Variable Risk  ·  ● Compensatory, not speculative gain</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DB2777" w:val="clear"/>
            <w:tcMar>
              <w:top w:type="dxa" w:w="120"/>
              <w:left w:type="dxa" w:w="180"/>
              <w:bottom w:type="dxa" w:w="120"/>
              <w:right w:type="dxa" w:w="180"/>
            </w:tcMar>
          </w:tcPr>
          <w:p>
            <w:pPr>
              <w:spacing w:after="40" w:before="40"/>
            </w:pPr>
            <w:r>
              <w:rPr>
                <w:rFonts w:ascii="Arial" w:cs="Arial" w:eastAsia="Arial" w:hAnsi="Arial"/>
                <w:color w:val="FFFFFF"/>
                <w:sz w:val="28"/>
                <w:szCs w:val="28"/>
              </w:rPr>
              <w:t xml:space="preserve">🤖  </w:t>
            </w:r>
            <w:r>
              <w:rPr>
                <w:rFonts w:ascii="Courier New" w:cs="Courier New" w:eastAsia="Courier New" w:hAnsi="Courier New"/>
                <w:b/>
                <w:bCs/>
                <w:color w:val="E0F2FE"/>
                <w:sz w:val="18"/>
                <w:szCs w:val="18"/>
              </w:rPr>
              <w:t xml:space="preserve">Group 5 · IA-01 to IA-06</w:t>
            </w:r>
            <w:r>
              <w:rPr>
                <w:rFonts w:ascii="Arial" w:cs="Arial" w:eastAsia="Arial" w:hAnsi="Arial"/>
                <w:b/>
                <w:bCs/>
                <w:color w:val="FFFFFF"/>
                <w:sz w:val="26"/>
                <w:szCs w:val="26"/>
              </w:rPr>
              <w:t xml:space="preserve">  ·  AI &amp; Automation</w:t>
            </w:r>
          </w:p>
        </w:tc>
      </w:tr>
      <w:tr>
        <w:tc>
          <w:tcPr>
            <w:tcW w:type="dxa" w:w="9360"/>
            <w:tcBorders>
              <w:top w:val="single" w:color="D1D5DB" w:sz="1"/>
              <w:left w:val="single" w:color="D1D5DB" w:sz="1"/>
              <w:bottom w:val="single" w:color="D1D5DB" w:sz="1"/>
              <w:right w:val="single" w:color="D1D5DB" w:sz="1"/>
            </w:tcBorders>
            <w:shd w:fill="F8FAFF" w:val="clear"/>
            <w:tcMar>
              <w:top w:type="dxa" w:w="120"/>
              <w:left w:type="dxa" w:w="180"/>
              <w:bottom w:type="dxa" w:w="120"/>
              <w:right w:type="dxa" w:w="180"/>
            </w:tcMar>
          </w:tcPr>
          <w:p>
            <w:pPr>
              <w:spacing w:after="40" w:before="40"/>
            </w:pPr>
            <w:r>
              <w:rPr>
                <w:rFonts w:ascii="Arial" w:cs="Arial" w:eastAsia="Arial" w:hAnsi="Arial"/>
                <w:color w:val="374151"/>
                <w:sz w:val="21"/>
                <w:szCs w:val="21"/>
              </w:rPr>
              <w:t xml:space="preserve">Use of advanced technology for systematic competitive advantage. Bots scale without limits: from automated news front-running (&lt;500ms latency) to proprietary fair value models, on-chain whale copy-trading, and Bregman + Frank-Wolfe mathematical optimization.</w:t>
            </w:r>
          </w:p>
        </w:tc>
      </w:tr>
      <w:tr>
        <w:tc>
          <w:tcPr>
            <w:tcW w:type="dxa" w:w="9360"/>
            <w:tcBorders>
              <w:top w:val="single" w:color="D1D5DB" w:sz="1"/>
              <w:left w:val="single" w:color="D1D5DB" w:sz="1"/>
              <w:bottom w:val="single" w:color="D1D5DB" w:sz="1"/>
              <w:right w:val="single" w:color="D1D5DB" w:sz="1"/>
            </w:tcBorders>
            <w:shd w:fill="F0F4FF" w:val="clear"/>
            <w:tcMar>
              <w:top w:type="dxa" w:w="100"/>
              <w:left w:type="dxa" w:w="180"/>
              <w:bottom w:type="dxa" w:w="100"/>
              <w:right w:type="dxa" w:w="180"/>
            </w:tcMar>
          </w:tcPr>
          <w:p>
            <w:pPr>
              <w:spacing w:after="30" w:before="30"/>
            </w:pPr>
            <w:r>
              <w:rPr>
                <w:rFonts w:ascii="Courier New" w:cs="Courier New" w:eastAsia="Courier New" w:hAnsi="Courier New"/>
                <w:b/>
                <w:bCs/>
                <w:color w:val="DB2777"/>
                <w:sz w:val="16"/>
                <w:szCs w:val="16"/>
              </w:rPr>
              <w:t xml:space="preserve">STRATEGIES: </w:t>
            </w:r>
            <w:r>
              <w:rPr>
                <w:rFonts w:ascii="Courier New" w:cs="Courier New" w:eastAsia="Courier New" w:hAnsi="Courier New"/>
                <w:color w:val="4B5563"/>
                <w:sz w:val="16"/>
                <w:szCs w:val="16"/>
              </w:rPr>
              <w:t xml:space="preserve">IA-01 News Front-Running  ·  IA-02 Whale Copy-Trading  ·  IA-03 Fair Value Model  ·  IA-04 ARB Bot Types 1-3  ·  IA-05 LLM + IP Solver  ·  IA-06 Bregman + Frank-Wolfe</w:t>
            </w:r>
          </w:p>
        </w:tc>
      </w:tr>
      <w:tr>
        <w:tc>
          <w:tcPr>
            <w:tcW w:type="dxa" w:w="3120"/>
            <w:tcBorders>
              <w:top w:val="single" w:color="D1D5DB" w:sz="1"/>
              <w:left w:val="single" w:color="D1D5DB" w:sz="1"/>
              <w:bottom w:val="single" w:color="D1D5DB" w:sz="1"/>
              <w:right w:val="single" w:color="D1D5DB" w:sz="1"/>
            </w:tcBorders>
            <w:shd w:fill="EEF4FF" w:val="clear"/>
            <w:tcMar>
              <w:top w:type="dxa" w:w="90"/>
              <w:left w:type="dxa" w:w="120"/>
              <w:bottom w:type="dxa" w:w="90"/>
              <w:right w:type="dxa" w:w="120"/>
            </w:tcMar>
          </w:tcPr>
          <w:p>
            <w:pPr>
              <w:spacing w:after="10" w:before="40"/>
              <w:jc w:val="center"/>
            </w:pPr>
            <w:r>
              <w:rPr>
                <w:rFonts w:ascii="Arial" w:cs="Arial" w:eastAsia="Arial" w:hAnsi="Arial"/>
                <w:b/>
                <w:bCs/>
                <w:color w:val="DB2777"/>
                <w:sz w:val="24"/>
                <w:szCs w:val="24"/>
              </w:rPr>
              <w:t xml:space="preserve">&lt;500ms</w:t>
            </w:r>
          </w:p>
          <w:p>
            <w:pPr>
              <w:spacing w:after="40" w:before="0"/>
              <w:jc w:val="center"/>
            </w:pPr>
            <w:r>
              <w:rPr>
                <w:rFonts w:ascii="Courier New" w:cs="Courier New" w:eastAsia="Courier New" w:hAnsi="Courier New"/>
                <w:color w:val="6B7280"/>
                <w:sz w:val="14"/>
                <w:szCs w:val="14"/>
              </w:rPr>
              <w:t xml:space="preserve">TARGET LATENCY IA-01</w:t>
            </w:r>
          </w:p>
        </w:tc>
        <w:tc>
          <w:tcPr>
            <w:tcW w:type="dxa" w:w="3120"/>
            <w:tcBorders>
              <w:top w:val="single" w:color="D1D5DB" w:sz="1"/>
              <w:left w:val="single" w:color="D1D5DB" w:sz="1"/>
              <w:bottom w:val="single" w:color="D1D5DB" w:sz="1"/>
              <w:right w:val="single" w:color="D1D5DB" w:sz="1"/>
            </w:tcBorders>
            <w:shd w:fill="EEF4FF" w:val="clear"/>
            <w:tcMar>
              <w:top w:type="dxa" w:w="90"/>
              <w:left w:type="dxa" w:w="120"/>
              <w:bottom w:type="dxa" w:w="90"/>
              <w:right w:type="dxa" w:w="120"/>
            </w:tcMar>
          </w:tcPr>
          <w:p>
            <w:pPr>
              <w:spacing w:after="10" w:before="40"/>
              <w:jc w:val="center"/>
            </w:pPr>
            <w:r>
              <w:rPr>
                <w:rFonts w:ascii="Arial" w:cs="Arial" w:eastAsia="Arial" w:hAnsi="Arial"/>
                <w:b/>
                <w:bCs/>
                <w:color w:val="DB2777"/>
                <w:sz w:val="24"/>
                <w:szCs w:val="24"/>
              </w:rPr>
              <w:t xml:space="preserve">Full</w:t>
            </w:r>
          </w:p>
          <w:p>
            <w:pPr>
              <w:spacing w:after="40" w:before="0"/>
              <w:jc w:val="center"/>
            </w:pPr>
            <w:r>
              <w:rPr>
                <w:rFonts w:ascii="Courier New" w:cs="Courier New" w:eastAsia="Courier New" w:hAnsi="Courier New"/>
                <w:color w:val="6B7280"/>
                <w:sz w:val="14"/>
                <w:szCs w:val="14"/>
              </w:rPr>
              <w:t xml:space="preserve">AUTOMATABLE</w:t>
            </w:r>
          </w:p>
        </w:tc>
        <w:tc>
          <w:tcPr>
            <w:tcW w:type="dxa" w:w="3120"/>
            <w:tcBorders>
              <w:top w:val="single" w:color="D1D5DB" w:sz="1"/>
              <w:left w:val="single" w:color="D1D5DB" w:sz="1"/>
              <w:bottom w:val="single" w:color="D1D5DB" w:sz="1"/>
              <w:right w:val="single" w:color="D1D5DB" w:sz="1"/>
            </w:tcBorders>
            <w:shd w:fill="EEF4FF" w:val="clear"/>
            <w:tcMar>
              <w:top w:type="dxa" w:w="90"/>
              <w:left w:type="dxa" w:w="120"/>
              <w:bottom w:type="dxa" w:w="90"/>
              <w:right w:type="dxa" w:w="120"/>
            </w:tcMar>
          </w:tcPr>
          <w:p>
            <w:pPr>
              <w:spacing w:after="10" w:before="40"/>
              <w:jc w:val="center"/>
            </w:pPr>
            <w:r>
              <w:rPr>
                <w:rFonts w:ascii="Arial" w:cs="Arial" w:eastAsia="Arial" w:hAnsi="Arial"/>
                <w:b/>
                <w:bCs/>
                <w:color w:val="DB2777"/>
                <w:sz w:val="24"/>
                <w:szCs w:val="24"/>
              </w:rPr>
              <w:t xml:space="preserve">Unlimited</w:t>
            </w:r>
          </w:p>
          <w:p>
            <w:pPr>
              <w:spacing w:after="40" w:before="0"/>
              <w:jc w:val="center"/>
            </w:pPr>
            <w:r>
              <w:rPr>
                <w:rFonts w:ascii="Courier New" w:cs="Courier New" w:eastAsia="Courier New" w:hAnsi="Courier New"/>
                <w:color w:val="6B7280"/>
                <w:sz w:val="14"/>
                <w:szCs w:val="14"/>
              </w:rPr>
              <w:t xml:space="preserve">SCALE POTENTIAL</w:t>
            </w:r>
          </w:p>
        </w:tc>
      </w:tr>
      <w:tr>
        <w:tc>
          <w:tcPr>
            <w:tcW w:type="dxa" w:w="9360"/>
            <w:tcBorders>
              <w:top w:val="single" w:color="D1D5DB" w:sz="1"/>
              <w:left w:val="single" w:color="D1D5DB" w:sz="1"/>
              <w:bottom w:val="single" w:color="D1D5DB" w:sz="1"/>
              <w:right w:val="single" w:color="D1D5DB" w:sz="1"/>
            </w:tcBorders>
            <w:shd w:fill="F0F9FF" w:val="clear"/>
            <w:tcMar>
              <w:top w:type="dxa" w:w="80"/>
              <w:left w:type="dxa" w:w="180"/>
              <w:bottom w:type="dxa" w:w="80"/>
              <w:right w:type="dxa" w:w="180"/>
            </w:tcMar>
          </w:tcPr>
          <w:p>
            <w:pPr>
              <w:spacing w:after="30" w:before="30"/>
            </w:pPr>
            <w:r>
              <w:rPr>
                <w:rFonts w:ascii="Courier New" w:cs="Courier New" w:eastAsia="Courier New" w:hAnsi="Courier New"/>
                <w:b/>
                <w:bCs/>
                <w:color w:val="DB2777"/>
                <w:sz w:val="17"/>
                <w:szCs w:val="17"/>
              </w:rPr>
              <w:t xml:space="preserve">● Variable Risk  ·  ● High long-term scale potential</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0B981" w:val="clear"/>
            <w:tcMar>
              <w:top w:type="dxa" w:w="120"/>
              <w:left w:type="dxa" w:w="180"/>
              <w:bottom w:type="dxa" w:w="120"/>
              <w:right w:type="dxa" w:w="180"/>
            </w:tcMar>
          </w:tcPr>
          <w:p>
            <w:pPr>
              <w:spacing w:after="40" w:before="40"/>
            </w:pPr>
            <w:r>
              <w:rPr>
                <w:rFonts w:ascii="Arial" w:cs="Arial" w:eastAsia="Arial" w:hAnsi="Arial"/>
                <w:color w:val="FFFFFF"/>
                <w:sz w:val="28"/>
                <w:szCs w:val="28"/>
              </w:rPr>
              <w:t xml:space="preserve">⚗️  </w:t>
            </w:r>
            <w:r>
              <w:rPr>
                <w:rFonts w:ascii="Courier New" w:cs="Courier New" w:eastAsia="Courier New" w:hAnsi="Courier New"/>
                <w:b/>
                <w:bCs/>
                <w:color w:val="E0F2FE"/>
                <w:sz w:val="18"/>
                <w:szCs w:val="18"/>
              </w:rPr>
              <w:t xml:space="preserve">Group 6 · HYB-01 to HYB-05</w:t>
            </w:r>
            <w:r>
              <w:rPr>
                <w:rFonts w:ascii="Arial" w:cs="Arial" w:eastAsia="Arial" w:hAnsi="Arial"/>
                <w:b/>
                <w:bCs/>
                <w:color w:val="FFFFFF"/>
                <w:sz w:val="26"/>
                <w:szCs w:val="26"/>
              </w:rPr>
              <w:t xml:space="preserve">  ·  Hybrid Strategies</w:t>
            </w:r>
          </w:p>
        </w:tc>
      </w:tr>
      <w:tr>
        <w:tc>
          <w:tcPr>
            <w:tcW w:type="dxa" w:w="9360"/>
            <w:tcBorders>
              <w:top w:val="single" w:color="D1D5DB" w:sz="1"/>
              <w:left w:val="single" w:color="D1D5DB" w:sz="1"/>
              <w:bottom w:val="single" w:color="D1D5DB" w:sz="1"/>
              <w:right w:val="single" w:color="D1D5DB" w:sz="1"/>
            </w:tcBorders>
            <w:shd w:fill="F8FAFF" w:val="clear"/>
            <w:tcMar>
              <w:top w:type="dxa" w:w="120"/>
              <w:left w:type="dxa" w:w="180"/>
              <w:bottom w:type="dxa" w:w="120"/>
              <w:right w:type="dxa" w:w="180"/>
            </w:tcMar>
          </w:tcPr>
          <w:p>
            <w:pPr>
              <w:spacing w:after="40" w:before="40"/>
            </w:pPr>
            <w:r>
              <w:rPr>
                <w:rFonts w:ascii="Arial" w:cs="Arial" w:eastAsia="Arial" w:hAnsi="Arial"/>
                <w:color w:val="374151"/>
                <w:sz w:val="21"/>
                <w:szCs w:val="21"/>
              </w:rPr>
              <w:t xml:space="preserve">Synergistic combinations of prior groups that maximize total profitability or reduce risk. Multi-cycle compounding with dynamic market selection (HYB-05) improves base ROI by +20-40% versus repetitive single-strategy approaches.</w:t>
            </w:r>
          </w:p>
        </w:tc>
      </w:tr>
      <w:tr>
        <w:tc>
          <w:tcPr>
            <w:tcW w:type="dxa" w:w="9360"/>
            <w:tcBorders>
              <w:top w:val="single" w:color="D1D5DB" w:sz="1"/>
              <w:left w:val="single" w:color="D1D5DB" w:sz="1"/>
              <w:bottom w:val="single" w:color="D1D5DB" w:sz="1"/>
              <w:right w:val="single" w:color="D1D5DB" w:sz="1"/>
            </w:tcBorders>
            <w:shd w:fill="F0F4FF" w:val="clear"/>
            <w:tcMar>
              <w:top w:type="dxa" w:w="100"/>
              <w:left w:type="dxa" w:w="180"/>
              <w:bottom w:type="dxa" w:w="100"/>
              <w:right w:type="dxa" w:w="180"/>
            </w:tcMar>
          </w:tcPr>
          <w:p>
            <w:pPr>
              <w:spacing w:after="30" w:before="30"/>
            </w:pPr>
            <w:r>
              <w:rPr>
                <w:rFonts w:ascii="Courier New" w:cs="Courier New" w:eastAsia="Courier New" w:hAnsi="Courier New"/>
                <w:b/>
                <w:bCs/>
                <w:color w:val="10B981"/>
                <w:sz w:val="16"/>
                <w:szCs w:val="16"/>
              </w:rPr>
              <w:t xml:space="preserve">STRATEGIES: </w:t>
            </w:r>
            <w:r>
              <w:rPr>
                <w:rFonts w:ascii="Courier New" w:cs="Courier New" w:eastAsia="Courier New" w:hAnsi="Courier New"/>
                <w:color w:val="4B5563"/>
                <w:sz w:val="16"/>
                <w:szCs w:val="16"/>
              </w:rPr>
              <w:t xml:space="preserve">HYB-01 Minting + LP Sweet Spot  ·  HYB-02 Arbitrage + Hedge  ·  HYB-03 Fair Value + Momentum  ·  HYB-04 Copy-Trading + Fair Value  ·  HYB-05 Selective Compounding</w:t>
            </w:r>
          </w:p>
        </w:tc>
      </w:tr>
      <w:tr>
        <w:tc>
          <w:tcPr>
            <w:tcW w:type="dxa" w:w="3120"/>
            <w:tcBorders>
              <w:top w:val="single" w:color="D1D5DB" w:sz="1"/>
              <w:left w:val="single" w:color="D1D5DB" w:sz="1"/>
              <w:bottom w:val="single" w:color="D1D5DB" w:sz="1"/>
              <w:right w:val="single" w:color="D1D5DB" w:sz="1"/>
            </w:tcBorders>
            <w:shd w:fill="EEF4FF" w:val="clear"/>
            <w:tcMar>
              <w:top w:type="dxa" w:w="90"/>
              <w:left w:type="dxa" w:w="120"/>
              <w:bottom w:type="dxa" w:w="90"/>
              <w:right w:type="dxa" w:w="120"/>
            </w:tcMar>
          </w:tcPr>
          <w:p>
            <w:pPr>
              <w:spacing w:after="10" w:before="40"/>
              <w:jc w:val="center"/>
            </w:pPr>
            <w:r>
              <w:rPr>
                <w:rFonts w:ascii="Arial" w:cs="Arial" w:eastAsia="Arial" w:hAnsi="Arial"/>
                <w:b/>
                <w:bCs/>
                <w:color w:val="10B981"/>
                <w:sz w:val="24"/>
                <w:szCs w:val="24"/>
              </w:rPr>
              <w:t xml:space="preserve">~26-28%</w:t>
            </w:r>
          </w:p>
          <w:p>
            <w:pPr>
              <w:spacing w:after="40" w:before="0"/>
              <w:jc w:val="center"/>
            </w:pPr>
            <w:r>
              <w:rPr>
                <w:rFonts w:ascii="Courier New" w:cs="Courier New" w:eastAsia="Courier New" w:hAnsi="Courier New"/>
                <w:color w:val="6B7280"/>
                <w:sz w:val="14"/>
                <w:szCs w:val="14"/>
              </w:rPr>
              <w:t xml:space="preserve">ANNUAL APY HYB-01</w:t>
            </w:r>
          </w:p>
        </w:tc>
        <w:tc>
          <w:tcPr>
            <w:tcW w:type="dxa" w:w="3120"/>
            <w:tcBorders>
              <w:top w:val="single" w:color="D1D5DB" w:sz="1"/>
              <w:left w:val="single" w:color="D1D5DB" w:sz="1"/>
              <w:bottom w:val="single" w:color="D1D5DB" w:sz="1"/>
              <w:right w:val="single" w:color="D1D5DB" w:sz="1"/>
            </w:tcBorders>
            <w:shd w:fill="EEF4FF" w:val="clear"/>
            <w:tcMar>
              <w:top w:type="dxa" w:w="90"/>
              <w:left w:type="dxa" w:w="120"/>
              <w:bottom w:type="dxa" w:w="90"/>
              <w:right w:type="dxa" w:w="120"/>
            </w:tcMar>
          </w:tcPr>
          <w:p>
            <w:pPr>
              <w:spacing w:after="10" w:before="40"/>
              <w:jc w:val="center"/>
            </w:pPr>
            <w:r>
              <w:rPr>
                <w:rFonts w:ascii="Arial" w:cs="Arial" w:eastAsia="Arial" w:hAnsi="Arial"/>
                <w:b/>
                <w:bCs/>
                <w:color w:val="10B981"/>
                <w:sz w:val="24"/>
                <w:szCs w:val="24"/>
              </w:rPr>
              <w:t xml:space="preserve">+20-40%</w:t>
            </w:r>
          </w:p>
          <w:p>
            <w:pPr>
              <w:spacing w:after="40" w:before="0"/>
              <w:jc w:val="center"/>
            </w:pPr>
            <w:r>
              <w:rPr>
                <w:rFonts w:ascii="Courier New" w:cs="Courier New" w:eastAsia="Courier New" w:hAnsi="Courier New"/>
                <w:color w:val="6B7280"/>
                <w:sz w:val="14"/>
                <w:szCs w:val="14"/>
              </w:rPr>
              <w:t xml:space="preserve">ROI IMPROVEMENT HYB-05</w:t>
            </w:r>
          </w:p>
        </w:tc>
        <w:tc>
          <w:tcPr>
            <w:tcW w:type="dxa" w:w="3120"/>
            <w:tcBorders>
              <w:top w:val="single" w:color="D1D5DB" w:sz="1"/>
              <w:left w:val="single" w:color="D1D5DB" w:sz="1"/>
              <w:bottom w:val="single" w:color="D1D5DB" w:sz="1"/>
              <w:right w:val="single" w:color="D1D5DB" w:sz="1"/>
            </w:tcBorders>
            <w:shd w:fill="EEF4FF" w:val="clear"/>
            <w:tcMar>
              <w:top w:type="dxa" w:w="90"/>
              <w:left w:type="dxa" w:w="120"/>
              <w:bottom w:type="dxa" w:w="90"/>
              <w:right w:type="dxa" w:w="120"/>
            </w:tcMar>
          </w:tcPr>
          <w:p>
            <w:pPr>
              <w:spacing w:after="10" w:before="40"/>
              <w:jc w:val="center"/>
            </w:pPr>
            <w:r>
              <w:rPr>
                <w:rFonts w:ascii="Arial" w:cs="Arial" w:eastAsia="Arial" w:hAnsi="Arial"/>
                <w:b/>
                <w:bCs/>
                <w:color w:val="10B981"/>
                <w:sz w:val="24"/>
                <w:szCs w:val="24"/>
              </w:rPr>
              <w:t xml:space="preserve">12.1×</w:t>
            </w:r>
          </w:p>
          <w:p>
            <w:pPr>
              <w:spacing w:after="40" w:before="0"/>
              <w:jc w:val="center"/>
            </w:pPr>
            <w:r>
              <w:rPr>
                <w:rFonts w:ascii="Courier New" w:cs="Courier New" w:eastAsia="Courier New" w:hAnsi="Courier New"/>
                <w:color w:val="6B7280"/>
                <w:sz w:val="14"/>
                <w:szCs w:val="14"/>
              </w:rPr>
              <w:t xml:space="preserve">MAX CAPITAL MULTIPLIER</w:t>
            </w:r>
          </w:p>
        </w:tc>
      </w:tr>
      <w:tr>
        <w:tc>
          <w:tcPr>
            <w:tcW w:type="dxa" w:w="9360"/>
            <w:tcBorders>
              <w:top w:val="single" w:color="D1D5DB" w:sz="1"/>
              <w:left w:val="single" w:color="D1D5DB" w:sz="1"/>
              <w:bottom w:val="single" w:color="D1D5DB" w:sz="1"/>
              <w:right w:val="single" w:color="D1D5DB" w:sz="1"/>
            </w:tcBorders>
            <w:shd w:fill="F0F9FF" w:val="clear"/>
            <w:tcMar>
              <w:top w:type="dxa" w:w="80"/>
              <w:left w:type="dxa" w:w="180"/>
              <w:bottom w:type="dxa" w:w="80"/>
              <w:right w:type="dxa" w:w="180"/>
            </w:tcMar>
          </w:tcPr>
          <w:p>
            <w:pPr>
              <w:spacing w:after="30" w:before="30"/>
            </w:pPr>
            <w:r>
              <w:rPr>
                <w:rFonts w:ascii="Courier New" w:cs="Courier New" w:eastAsia="Courier New" w:hAnsi="Courier New"/>
                <w:b/>
                <w:bCs/>
                <w:color w:val="10B981"/>
                <w:sz w:val="17"/>
                <w:szCs w:val="17"/>
              </w:rPr>
              <w:t xml:space="preserve">● Low–Medium Risk  ·  ● Superior potential vs individual strategies</w:t>
            </w:r>
          </w:p>
        </w:tc>
      </w:tr>
    </w:tbl>
    <w:p>
      <w:pPr>
        <w:shd w:fill="070B12" w:val="clear"/>
        <w:spacing w:after="80" w:before="320"/>
      </w:pPr>
      <w:r>
        <w:rPr>
          <w:rFonts w:ascii="Courier New" w:cs="Courier New" w:eastAsia="Courier New" w:hAnsi="Courier New"/>
          <w:b/>
          <w:bCs/>
          <w:color w:val="7DD3FC"/>
          <w:sz w:val="17"/>
          <w:szCs w:val="17"/>
        </w:rPr>
        <w:t xml:space="preserve">  // COMPARISON TABLE — ALL 28 STRATEGIES  </w:t>
      </w:r>
    </w:p>
    <w:p>
      <w:pPr>
        <w:pStyle w:val="Heading1"/>
        <w:pBdr>
          <w:bottom w:val="single" w:color="0284C7" w:sz="6" w:space="3"/>
        </w:pBdr>
        <w:spacing w:after="140" w:before="280"/>
      </w:pPr>
      <w:r>
        <w:rPr>
          <w:rFonts w:ascii="Arial" w:cs="Arial" w:eastAsia="Arial" w:hAnsi="Arial"/>
          <w:b/>
          <w:bCs/>
          <w:color w:val="111827"/>
          <w:sz w:val="40"/>
          <w:szCs w:val="40"/>
        </w:rPr>
        <w:t xml:space="preserve">Consolidated view of all strategies</w:t>
      </w:r>
    </w:p>
    <w:p>
      <w:pPr>
        <w:spacing w:after="60" w:before="60"/>
      </w:pPr>
      <w:r>
        <w:rPr>
          <w:rFonts w:ascii="Arial" w:cs="Arial" w:eastAsia="Arial" w:hAnsi="Arial"/>
          <w:color w:val="374151"/>
          <w:sz w:val="22"/>
          <w:szCs w:val="22"/>
        </w:rPr>
        <w:t xml:space="preserve">Historical success columns correspond to rates documented in paper arXiv:2508.03474v1 where available.</w:t>
      </w:r>
    </w:p>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40"/>
        <w:gridCol w:w="2520"/>
        <w:gridCol w:w="960"/>
        <w:gridCol w:w="900"/>
        <w:gridCol w:w="960"/>
        <w:gridCol w:w="720"/>
        <w:gridCol w:w="720"/>
        <w:gridCol w:w="740"/>
      </w:tblGrid>
      <w:tr>
        <w:trPr>
          <w:tblHeader/>
        </w:trPr>
        <w:tc>
          <w:tcPr>
            <w:tcW w:type="dxa" w:w="840"/>
            <w:tcBorders>
              <w:top w:val="single" w:color="D1D5DB" w:sz="1"/>
              <w:left w:val="single" w:color="D1D5DB" w:sz="1"/>
              <w:bottom w:val="single" w:color="D1D5DB" w:sz="1"/>
              <w:right w:val="single" w:color="D1D5DB" w:sz="1"/>
            </w:tcBorders>
            <w:shd w:fill="111827" w:val="clear"/>
            <w:tcMar>
              <w:top w:type="dxa" w:w="90"/>
              <w:left w:type="dxa" w:w="130"/>
              <w:bottom w:type="dxa" w:w="90"/>
              <w:right w:type="dxa" w:w="130"/>
            </w:tcMar>
          </w:tcPr>
          <w:p>
            <w:pPr>
              <w:spacing w:after="40" w:before="40"/>
            </w:pPr>
            <w:r>
              <w:rPr>
                <w:rFonts w:ascii="Arial" w:cs="Arial" w:eastAsia="Arial" w:hAnsi="Arial"/>
                <w:b/>
                <w:bCs/>
                <w:color w:val="FFFFFF"/>
                <w:sz w:val="19"/>
                <w:szCs w:val="19"/>
              </w:rPr>
              <w:t xml:space="preserve">ID</w:t>
            </w:r>
          </w:p>
        </w:tc>
        <w:tc>
          <w:tcPr>
            <w:tcW w:type="dxa" w:w="2520"/>
            <w:tcBorders>
              <w:top w:val="single" w:color="D1D5DB" w:sz="1"/>
              <w:left w:val="single" w:color="D1D5DB" w:sz="1"/>
              <w:bottom w:val="single" w:color="D1D5DB" w:sz="1"/>
              <w:right w:val="single" w:color="D1D5DB" w:sz="1"/>
            </w:tcBorders>
            <w:shd w:fill="111827" w:val="clear"/>
            <w:tcMar>
              <w:top w:type="dxa" w:w="90"/>
              <w:left w:type="dxa" w:w="130"/>
              <w:bottom w:type="dxa" w:w="90"/>
              <w:right w:type="dxa" w:w="130"/>
            </w:tcMar>
          </w:tcPr>
          <w:p>
            <w:pPr>
              <w:spacing w:after="40" w:before="40"/>
            </w:pPr>
            <w:r>
              <w:rPr>
                <w:rFonts w:ascii="Arial" w:cs="Arial" w:eastAsia="Arial" w:hAnsi="Arial"/>
                <w:b/>
                <w:bCs/>
                <w:color w:val="FFFFFF"/>
                <w:sz w:val="19"/>
                <w:szCs w:val="19"/>
              </w:rPr>
              <w:t xml:space="preserve">Name</w:t>
            </w:r>
          </w:p>
        </w:tc>
        <w:tc>
          <w:tcPr>
            <w:tcW w:type="dxa" w:w="960"/>
            <w:tcBorders>
              <w:top w:val="single" w:color="D1D5DB" w:sz="1"/>
              <w:left w:val="single" w:color="D1D5DB" w:sz="1"/>
              <w:bottom w:val="single" w:color="D1D5DB" w:sz="1"/>
              <w:right w:val="single" w:color="D1D5DB" w:sz="1"/>
            </w:tcBorders>
            <w:shd w:fill="111827" w:val="clear"/>
            <w:tcMar>
              <w:top w:type="dxa" w:w="90"/>
              <w:left w:type="dxa" w:w="130"/>
              <w:bottom w:type="dxa" w:w="90"/>
              <w:right w:type="dxa" w:w="130"/>
            </w:tcMar>
          </w:tcPr>
          <w:p>
            <w:pPr>
              <w:spacing w:after="40" w:before="40"/>
            </w:pPr>
            <w:r>
              <w:rPr>
                <w:rFonts w:ascii="Arial" w:cs="Arial" w:eastAsia="Arial" w:hAnsi="Arial"/>
                <w:b/>
                <w:bCs/>
                <w:color w:val="FFFFFF"/>
                <w:sz w:val="19"/>
                <w:szCs w:val="19"/>
              </w:rPr>
              <w:t xml:space="preserve">Group</w:t>
            </w:r>
          </w:p>
        </w:tc>
        <w:tc>
          <w:tcPr>
            <w:tcW w:type="dxa" w:w="900"/>
            <w:tcBorders>
              <w:top w:val="single" w:color="D1D5DB" w:sz="1"/>
              <w:left w:val="single" w:color="D1D5DB" w:sz="1"/>
              <w:bottom w:val="single" w:color="D1D5DB" w:sz="1"/>
              <w:right w:val="single" w:color="D1D5DB" w:sz="1"/>
            </w:tcBorders>
            <w:shd w:fill="111827" w:val="clear"/>
            <w:tcMar>
              <w:top w:type="dxa" w:w="90"/>
              <w:left w:type="dxa" w:w="130"/>
              <w:bottom w:type="dxa" w:w="90"/>
              <w:right w:type="dxa" w:w="130"/>
            </w:tcMar>
          </w:tcPr>
          <w:p>
            <w:pPr>
              <w:spacing w:after="40" w:before="40"/>
            </w:pPr>
            <w:r>
              <w:rPr>
                <w:rFonts w:ascii="Arial" w:cs="Arial" w:eastAsia="Arial" w:hAnsi="Arial"/>
                <w:b/>
                <w:bCs/>
                <w:color w:val="FFFFFF"/>
                <w:sz w:val="19"/>
                <w:szCs w:val="19"/>
              </w:rPr>
              <w:t xml:space="preserve">Risk</w:t>
            </w:r>
          </w:p>
        </w:tc>
        <w:tc>
          <w:tcPr>
            <w:tcW w:type="dxa" w:w="960"/>
            <w:tcBorders>
              <w:top w:val="single" w:color="D1D5DB" w:sz="1"/>
              <w:left w:val="single" w:color="D1D5DB" w:sz="1"/>
              <w:bottom w:val="single" w:color="D1D5DB" w:sz="1"/>
              <w:right w:val="single" w:color="D1D5DB" w:sz="1"/>
            </w:tcBorders>
            <w:shd w:fill="111827" w:val="clear"/>
            <w:tcMar>
              <w:top w:type="dxa" w:w="90"/>
              <w:left w:type="dxa" w:w="130"/>
              <w:bottom w:type="dxa" w:w="90"/>
              <w:right w:type="dxa" w:w="130"/>
            </w:tcMar>
          </w:tcPr>
          <w:p>
            <w:pPr>
              <w:spacing w:after="40" w:before="40"/>
            </w:pPr>
            <w:r>
              <w:rPr>
                <w:rFonts w:ascii="Arial" w:cs="Arial" w:eastAsia="Arial" w:hAnsi="Arial"/>
                <w:b/>
                <w:bCs/>
                <w:color w:val="FFFFFF"/>
                <w:sz w:val="19"/>
                <w:szCs w:val="19"/>
              </w:rPr>
              <w:t xml:space="preserve">ROI</w:t>
            </w:r>
          </w:p>
        </w:tc>
        <w:tc>
          <w:tcPr>
            <w:tcW w:type="dxa" w:w="720"/>
            <w:tcBorders>
              <w:top w:val="single" w:color="D1D5DB" w:sz="1"/>
              <w:left w:val="single" w:color="D1D5DB" w:sz="1"/>
              <w:bottom w:val="single" w:color="D1D5DB" w:sz="1"/>
              <w:right w:val="single" w:color="D1D5DB" w:sz="1"/>
            </w:tcBorders>
            <w:shd w:fill="111827" w:val="clear"/>
            <w:tcMar>
              <w:top w:type="dxa" w:w="90"/>
              <w:left w:type="dxa" w:w="130"/>
              <w:bottom w:type="dxa" w:w="90"/>
              <w:right w:type="dxa" w:w="130"/>
            </w:tcMar>
          </w:tcPr>
          <w:p>
            <w:pPr>
              <w:spacing w:after="40" w:before="40"/>
            </w:pPr>
            <w:r>
              <w:rPr>
                <w:rFonts w:ascii="Arial" w:cs="Arial" w:eastAsia="Arial" w:hAnsi="Arial"/>
                <w:b/>
                <w:bCs/>
                <w:color w:val="FFFFFF"/>
                <w:sz w:val="19"/>
                <w:szCs w:val="19"/>
              </w:rPr>
              <w:t xml:space="preserve">Min. Cap.</w:t>
            </w:r>
          </w:p>
        </w:tc>
        <w:tc>
          <w:tcPr>
            <w:tcW w:type="dxa" w:w="720"/>
            <w:tcBorders>
              <w:top w:val="single" w:color="D1D5DB" w:sz="1"/>
              <w:left w:val="single" w:color="D1D5DB" w:sz="1"/>
              <w:bottom w:val="single" w:color="D1D5DB" w:sz="1"/>
              <w:right w:val="single" w:color="D1D5DB" w:sz="1"/>
            </w:tcBorders>
            <w:shd w:fill="111827" w:val="clear"/>
            <w:tcMar>
              <w:top w:type="dxa" w:w="90"/>
              <w:left w:type="dxa" w:w="130"/>
              <w:bottom w:type="dxa" w:w="90"/>
              <w:right w:type="dxa" w:w="130"/>
            </w:tcMar>
          </w:tcPr>
          <w:p>
            <w:pPr>
              <w:spacing w:after="40" w:before="40"/>
            </w:pPr>
            <w:r>
              <w:rPr>
                <w:rFonts w:ascii="Arial" w:cs="Arial" w:eastAsia="Arial" w:hAnsi="Arial"/>
                <w:b/>
                <w:bCs/>
                <w:color w:val="FFFFFF"/>
                <w:sz w:val="19"/>
                <w:szCs w:val="19"/>
              </w:rPr>
              <w:t xml:space="preserve">Auto</w:t>
            </w:r>
          </w:p>
        </w:tc>
        <w:tc>
          <w:tcPr>
            <w:tcW w:type="dxa" w:w="740"/>
            <w:tcBorders>
              <w:top w:val="single" w:color="D1D5DB" w:sz="1"/>
              <w:left w:val="single" w:color="D1D5DB" w:sz="1"/>
              <w:bottom w:val="single" w:color="D1D5DB" w:sz="1"/>
              <w:right w:val="single" w:color="D1D5DB" w:sz="1"/>
            </w:tcBorders>
            <w:shd w:fill="111827" w:val="clear"/>
            <w:tcMar>
              <w:top w:type="dxa" w:w="90"/>
              <w:left w:type="dxa" w:w="130"/>
              <w:bottom w:type="dxa" w:w="90"/>
              <w:right w:type="dxa" w:w="130"/>
            </w:tcMar>
          </w:tcPr>
          <w:p>
            <w:pPr>
              <w:spacing w:after="40" w:before="40"/>
            </w:pPr>
            <w:r>
              <w:rPr>
                <w:rFonts w:ascii="Arial" w:cs="Arial" w:eastAsia="Arial" w:hAnsi="Arial"/>
                <w:b/>
                <w:bCs/>
                <w:color w:val="FFFFFF"/>
                <w:sz w:val="19"/>
                <w:szCs w:val="19"/>
              </w:rPr>
              <w:t xml:space="preserve">Success</w:t>
            </w:r>
          </w:p>
        </w:tc>
      </w:tr>
      <w:tr>
        <w:tc>
          <w:tcPr>
            <w:tcW w:type="dxa" w:w="840"/>
            <w:tcBorders>
              <w:top w:val="single" w:color="D1D5DB" w:sz="1"/>
              <w:left w:val="single" w:color="D1D5DB" w:sz="1"/>
              <w:bottom w:val="single" w:color="D1D5DB" w:sz="1"/>
              <w:right w:val="single" w:color="D1D5DB" w:sz="1"/>
            </w:tcBorders>
            <w:shd w:fill="E0EAFF" w:val="clear"/>
            <w:tcMar>
              <w:top w:type="dxa" w:w="80"/>
              <w:left w:type="dxa" w:w="120"/>
              <w:bottom w:type="dxa" w:w="80"/>
              <w:right w:type="dxa" w:w="120"/>
            </w:tcMar>
          </w:tcPr>
          <w:p>
            <w:pPr>
              <w:spacing w:after="40" w:before="40"/>
            </w:pPr>
            <w:r>
              <w:rPr>
                <w:rFonts w:ascii="Arial" w:cs="Arial" w:eastAsia="Arial" w:hAnsi="Arial"/>
                <w:b/>
                <w:bCs/>
                <w:color w:val="111827"/>
                <w:sz w:val="19"/>
                <w:szCs w:val="19"/>
              </w:rPr>
              <w:t xml:space="preserve">ARB-01</w:t>
            </w:r>
          </w:p>
        </w:tc>
        <w:tc>
          <w:tcPr>
            <w:tcW w:type="dxa" w:w="252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Binary Buy Arbitrage</w:t>
            </w:r>
          </w:p>
        </w:tc>
        <w:tc>
          <w:tcPr>
            <w:tcW w:type="dxa" w:w="96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Arbitrage</w:t>
            </w:r>
          </w:p>
        </w:tc>
        <w:tc>
          <w:tcPr>
            <w:tcW w:type="dxa" w:w="90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tcPr>
          <w:p>
            <w:pPr>
              <w:spacing w:after="40" w:before="40"/>
            </w:pPr>
            <w:r>
              <w:rPr>
                <w:rFonts w:ascii="Arial" w:cs="Arial" w:eastAsia="Arial" w:hAnsi="Arial"/>
                <w:b/>
                <w:bCs/>
                <w:color w:val="065F46"/>
                <w:sz w:val="19"/>
                <w:szCs w:val="19"/>
              </w:rPr>
              <w:t xml:space="preserve">Very Low</w:t>
            </w:r>
          </w:p>
        </w:tc>
        <w:tc>
          <w:tcPr>
            <w:tcW w:type="dxa" w:w="96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5–20%</w:t>
            </w:r>
          </w:p>
        </w:tc>
        <w:tc>
          <w:tcPr>
            <w:tcW w:type="dxa" w:w="72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$500</w:t>
            </w:r>
          </w:p>
        </w:tc>
        <w:tc>
          <w:tcPr>
            <w:tcW w:type="dxa" w:w="72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Full</w:t>
            </w:r>
          </w:p>
        </w:tc>
        <w:tc>
          <w:tcPr>
            <w:tcW w:type="dxa" w:w="74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87%</w:t>
            </w:r>
          </w:p>
        </w:tc>
      </w:tr>
      <w:tr>
        <w:tc>
          <w:tcPr>
            <w:tcW w:type="dxa" w:w="840"/>
            <w:tcBorders>
              <w:top w:val="single" w:color="D1D5DB" w:sz="1"/>
              <w:left w:val="single" w:color="D1D5DB" w:sz="1"/>
              <w:bottom w:val="single" w:color="D1D5DB" w:sz="1"/>
              <w:right w:val="single" w:color="D1D5DB" w:sz="1"/>
            </w:tcBorders>
            <w:shd w:fill="E0EAFF" w:val="clear"/>
            <w:tcMar>
              <w:top w:type="dxa" w:w="80"/>
              <w:left w:type="dxa" w:w="120"/>
              <w:bottom w:type="dxa" w:w="80"/>
              <w:right w:type="dxa" w:w="120"/>
            </w:tcMar>
          </w:tcPr>
          <w:p>
            <w:pPr>
              <w:spacing w:after="40" w:before="40"/>
            </w:pPr>
            <w:r>
              <w:rPr>
                <w:rFonts w:ascii="Arial" w:cs="Arial" w:eastAsia="Arial" w:hAnsi="Arial"/>
                <w:b/>
                <w:bCs/>
                <w:color w:val="111827"/>
                <w:sz w:val="19"/>
                <w:szCs w:val="19"/>
              </w:rPr>
              <w:t xml:space="preserve">ARB-02</w:t>
            </w:r>
          </w:p>
        </w:tc>
        <w:tc>
          <w:tcPr>
            <w:tcW w:type="dxa" w:w="2520"/>
            <w:tcBorders>
              <w:top w:val="single" w:color="D1D5DB" w:sz="1"/>
              <w:left w:val="single" w:color="D1D5DB" w:sz="1"/>
              <w:bottom w:val="single" w:color="D1D5DB" w:sz="1"/>
              <w:right w:val="single" w:color="D1D5DB" w:sz="1"/>
            </w:tcBorders>
            <w:shd w:fill="FAFB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Binary Sell/Mint Arbitrage</w:t>
            </w:r>
          </w:p>
        </w:tc>
        <w:tc>
          <w:tcPr>
            <w:tcW w:type="dxa" w:w="960"/>
            <w:tcBorders>
              <w:top w:val="single" w:color="D1D5DB" w:sz="1"/>
              <w:left w:val="single" w:color="D1D5DB" w:sz="1"/>
              <w:bottom w:val="single" w:color="D1D5DB" w:sz="1"/>
              <w:right w:val="single" w:color="D1D5DB" w:sz="1"/>
            </w:tcBorders>
            <w:shd w:fill="FAFB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Arbitrage</w:t>
            </w:r>
          </w:p>
        </w:tc>
        <w:tc>
          <w:tcPr>
            <w:tcW w:type="dxa" w:w="90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tcPr>
          <w:p>
            <w:pPr>
              <w:spacing w:after="40" w:before="40"/>
            </w:pPr>
            <w:r>
              <w:rPr>
                <w:rFonts w:ascii="Arial" w:cs="Arial" w:eastAsia="Arial" w:hAnsi="Arial"/>
                <w:b/>
                <w:bCs/>
                <w:color w:val="065F46"/>
                <w:sz w:val="19"/>
                <w:szCs w:val="19"/>
              </w:rPr>
              <w:t xml:space="preserve">Very Low</w:t>
            </w:r>
          </w:p>
        </w:tc>
        <w:tc>
          <w:tcPr>
            <w:tcW w:type="dxa" w:w="960"/>
            <w:tcBorders>
              <w:top w:val="single" w:color="D1D5DB" w:sz="1"/>
              <w:left w:val="single" w:color="D1D5DB" w:sz="1"/>
              <w:bottom w:val="single" w:color="D1D5DB" w:sz="1"/>
              <w:right w:val="single" w:color="D1D5DB" w:sz="1"/>
            </w:tcBorders>
            <w:shd w:fill="FAFB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5–20%</w:t>
            </w:r>
          </w:p>
        </w:tc>
        <w:tc>
          <w:tcPr>
            <w:tcW w:type="dxa" w:w="720"/>
            <w:tcBorders>
              <w:top w:val="single" w:color="D1D5DB" w:sz="1"/>
              <w:left w:val="single" w:color="D1D5DB" w:sz="1"/>
              <w:bottom w:val="single" w:color="D1D5DB" w:sz="1"/>
              <w:right w:val="single" w:color="D1D5DB" w:sz="1"/>
            </w:tcBorders>
            <w:shd w:fill="FAFB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$500</w:t>
            </w:r>
          </w:p>
        </w:tc>
        <w:tc>
          <w:tcPr>
            <w:tcW w:type="dxa" w:w="720"/>
            <w:tcBorders>
              <w:top w:val="single" w:color="D1D5DB" w:sz="1"/>
              <w:left w:val="single" w:color="D1D5DB" w:sz="1"/>
              <w:bottom w:val="single" w:color="D1D5DB" w:sz="1"/>
              <w:right w:val="single" w:color="D1D5DB" w:sz="1"/>
            </w:tcBorders>
            <w:shd w:fill="FAFB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Full</w:t>
            </w:r>
          </w:p>
        </w:tc>
        <w:tc>
          <w:tcPr>
            <w:tcW w:type="dxa" w:w="740"/>
            <w:tcBorders>
              <w:top w:val="single" w:color="D1D5DB" w:sz="1"/>
              <w:left w:val="single" w:color="D1D5DB" w:sz="1"/>
              <w:bottom w:val="single" w:color="D1D5DB" w:sz="1"/>
              <w:right w:val="single" w:color="D1D5DB" w:sz="1"/>
            </w:tcBorders>
            <w:shd w:fill="FAFB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87%</w:t>
            </w:r>
          </w:p>
        </w:tc>
      </w:tr>
      <w:tr>
        <w:tc>
          <w:tcPr>
            <w:tcW w:type="dxa" w:w="840"/>
            <w:tcBorders>
              <w:top w:val="single" w:color="D1D5DB" w:sz="1"/>
              <w:left w:val="single" w:color="D1D5DB" w:sz="1"/>
              <w:bottom w:val="single" w:color="D1D5DB" w:sz="1"/>
              <w:right w:val="single" w:color="D1D5DB" w:sz="1"/>
            </w:tcBorders>
            <w:shd w:fill="E0EAFF" w:val="clear"/>
            <w:tcMar>
              <w:top w:type="dxa" w:w="80"/>
              <w:left w:type="dxa" w:w="120"/>
              <w:bottom w:type="dxa" w:w="80"/>
              <w:right w:type="dxa" w:w="120"/>
            </w:tcMar>
          </w:tcPr>
          <w:p>
            <w:pPr>
              <w:spacing w:after="40" w:before="40"/>
            </w:pPr>
            <w:r>
              <w:rPr>
                <w:rFonts w:ascii="Arial" w:cs="Arial" w:eastAsia="Arial" w:hAnsi="Arial"/>
                <w:b/>
                <w:bCs/>
                <w:color w:val="111827"/>
                <w:sz w:val="19"/>
                <w:szCs w:val="19"/>
              </w:rPr>
              <w:t xml:space="preserve">ARB-03</w:t>
            </w:r>
          </w:p>
        </w:tc>
        <w:tc>
          <w:tcPr>
            <w:tcW w:type="dxa" w:w="252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NegRisk Multi-Condition Buy</w:t>
            </w:r>
          </w:p>
        </w:tc>
        <w:tc>
          <w:tcPr>
            <w:tcW w:type="dxa" w:w="96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Arbitrage</w:t>
            </w:r>
          </w:p>
        </w:tc>
        <w:tc>
          <w:tcPr>
            <w:tcW w:type="dxa" w:w="90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Low</w:t>
            </w:r>
          </w:p>
        </w:tc>
        <w:tc>
          <w:tcPr>
            <w:tcW w:type="dxa" w:w="96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10–30%</w:t>
            </w:r>
          </w:p>
        </w:tc>
        <w:tc>
          <w:tcPr>
            <w:tcW w:type="dxa" w:w="72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$1,000</w:t>
            </w:r>
          </w:p>
        </w:tc>
        <w:tc>
          <w:tcPr>
            <w:tcW w:type="dxa" w:w="72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Full</w:t>
            </w:r>
          </w:p>
        </w:tc>
        <w:tc>
          <w:tcPr>
            <w:tcW w:type="dxa" w:w="74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60%</w:t>
            </w:r>
          </w:p>
        </w:tc>
      </w:tr>
      <w:tr>
        <w:tc>
          <w:tcPr>
            <w:tcW w:type="dxa" w:w="840"/>
            <w:tcBorders>
              <w:top w:val="single" w:color="D1D5DB" w:sz="1"/>
              <w:left w:val="single" w:color="D1D5DB" w:sz="1"/>
              <w:bottom w:val="single" w:color="D1D5DB" w:sz="1"/>
              <w:right w:val="single" w:color="D1D5DB" w:sz="1"/>
            </w:tcBorders>
            <w:shd w:fill="E0EAFF" w:val="clear"/>
            <w:tcMar>
              <w:top w:type="dxa" w:w="80"/>
              <w:left w:type="dxa" w:w="120"/>
              <w:bottom w:type="dxa" w:w="80"/>
              <w:right w:type="dxa" w:w="120"/>
            </w:tcMar>
          </w:tcPr>
          <w:p>
            <w:pPr>
              <w:spacing w:after="40" w:before="40"/>
            </w:pPr>
            <w:r>
              <w:rPr>
                <w:rFonts w:ascii="Arial" w:cs="Arial" w:eastAsia="Arial" w:hAnsi="Arial"/>
                <w:b/>
                <w:bCs/>
                <w:color w:val="111827"/>
                <w:sz w:val="19"/>
                <w:szCs w:val="19"/>
              </w:rPr>
              <w:t xml:space="preserve">ARB-04</w:t>
            </w:r>
          </w:p>
        </w:tc>
        <w:tc>
          <w:tcPr>
            <w:tcW w:type="dxa" w:w="2520"/>
            <w:tcBorders>
              <w:top w:val="single" w:color="D1D5DB" w:sz="1"/>
              <w:left w:val="single" w:color="D1D5DB" w:sz="1"/>
              <w:bottom w:val="single" w:color="D1D5DB" w:sz="1"/>
              <w:right w:val="single" w:color="D1D5DB" w:sz="1"/>
            </w:tcBorders>
            <w:shd w:fill="FAFB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NegRisk Multi-Condition Sell</w:t>
            </w:r>
          </w:p>
        </w:tc>
        <w:tc>
          <w:tcPr>
            <w:tcW w:type="dxa" w:w="960"/>
            <w:tcBorders>
              <w:top w:val="single" w:color="D1D5DB" w:sz="1"/>
              <w:left w:val="single" w:color="D1D5DB" w:sz="1"/>
              <w:bottom w:val="single" w:color="D1D5DB" w:sz="1"/>
              <w:right w:val="single" w:color="D1D5DB" w:sz="1"/>
            </w:tcBorders>
            <w:shd w:fill="FAFB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Arbitrage</w:t>
            </w:r>
          </w:p>
        </w:tc>
        <w:tc>
          <w:tcPr>
            <w:tcW w:type="dxa" w:w="900"/>
            <w:tcBorders>
              <w:top w:val="single" w:color="D1D5DB" w:sz="1"/>
              <w:left w:val="single" w:color="D1D5DB" w:sz="1"/>
              <w:bottom w:val="single" w:color="D1D5DB" w:sz="1"/>
              <w:right w:val="single" w:color="D1D5DB" w:sz="1"/>
            </w:tcBorders>
            <w:shd w:fill="FAFB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Medium</w:t>
            </w:r>
          </w:p>
        </w:tc>
        <w:tc>
          <w:tcPr>
            <w:tcW w:type="dxa" w:w="960"/>
            <w:tcBorders>
              <w:top w:val="single" w:color="D1D5DB" w:sz="1"/>
              <w:left w:val="single" w:color="D1D5DB" w:sz="1"/>
              <w:bottom w:val="single" w:color="D1D5DB" w:sz="1"/>
              <w:right w:val="single" w:color="D1D5DB" w:sz="1"/>
            </w:tcBorders>
            <w:shd w:fill="FAFB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10–20%</w:t>
            </w:r>
          </w:p>
        </w:tc>
        <w:tc>
          <w:tcPr>
            <w:tcW w:type="dxa" w:w="720"/>
            <w:tcBorders>
              <w:top w:val="single" w:color="D1D5DB" w:sz="1"/>
              <w:left w:val="single" w:color="D1D5DB" w:sz="1"/>
              <w:bottom w:val="single" w:color="D1D5DB" w:sz="1"/>
              <w:right w:val="single" w:color="D1D5DB" w:sz="1"/>
            </w:tcBorders>
            <w:shd w:fill="FAFB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$1,000</w:t>
            </w:r>
          </w:p>
        </w:tc>
        <w:tc>
          <w:tcPr>
            <w:tcW w:type="dxa" w:w="720"/>
            <w:tcBorders>
              <w:top w:val="single" w:color="D1D5DB" w:sz="1"/>
              <w:left w:val="single" w:color="D1D5DB" w:sz="1"/>
              <w:bottom w:val="single" w:color="D1D5DB" w:sz="1"/>
              <w:right w:val="single" w:color="D1D5DB" w:sz="1"/>
            </w:tcBorders>
            <w:shd w:fill="FAFB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Full</w:t>
            </w:r>
          </w:p>
        </w:tc>
        <w:tc>
          <w:tcPr>
            <w:tcW w:type="dxa" w:w="740"/>
            <w:tcBorders>
              <w:top w:val="single" w:color="D1D5DB" w:sz="1"/>
              <w:left w:val="single" w:color="D1D5DB" w:sz="1"/>
              <w:bottom w:val="single" w:color="D1D5DB" w:sz="1"/>
              <w:right w:val="single" w:color="D1D5DB" w:sz="1"/>
            </w:tcBorders>
            <w:shd w:fill="FAFB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60%</w:t>
            </w:r>
          </w:p>
        </w:tc>
      </w:tr>
      <w:tr>
        <w:tc>
          <w:tcPr>
            <w:tcW w:type="dxa" w:w="840"/>
            <w:tcBorders>
              <w:top w:val="single" w:color="D1D5DB" w:sz="1"/>
              <w:left w:val="single" w:color="D1D5DB" w:sz="1"/>
              <w:bottom w:val="single" w:color="D1D5DB" w:sz="1"/>
              <w:right w:val="single" w:color="D1D5DB" w:sz="1"/>
            </w:tcBorders>
            <w:shd w:fill="E0EAFF" w:val="clear"/>
            <w:tcMar>
              <w:top w:type="dxa" w:w="80"/>
              <w:left w:type="dxa" w:w="120"/>
              <w:bottom w:type="dxa" w:w="80"/>
              <w:right w:type="dxa" w:w="120"/>
            </w:tcMar>
          </w:tcPr>
          <w:p>
            <w:pPr>
              <w:spacing w:after="40" w:before="40"/>
            </w:pPr>
            <w:r>
              <w:rPr>
                <w:rFonts w:ascii="Arial" w:cs="Arial" w:eastAsia="Arial" w:hAnsi="Arial"/>
                <w:b/>
                <w:bCs/>
                <w:color w:val="111827"/>
                <w:sz w:val="19"/>
                <w:szCs w:val="19"/>
              </w:rPr>
              <w:t xml:space="preserve">ARB-05</w:t>
            </w:r>
          </w:p>
        </w:tc>
        <w:tc>
          <w:tcPr>
            <w:tcW w:type="dxa" w:w="252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Cross-Market Combinatorial</w:t>
            </w:r>
          </w:p>
        </w:tc>
        <w:tc>
          <w:tcPr>
            <w:tcW w:type="dxa" w:w="96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Arbitrage</w:t>
            </w:r>
          </w:p>
        </w:tc>
        <w:tc>
          <w:tcPr>
            <w:tcW w:type="dxa" w:w="90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Medium</w:t>
            </w:r>
          </w:p>
        </w:tc>
        <w:tc>
          <w:tcPr>
            <w:tcW w:type="dxa" w:w="96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5–15%</w:t>
            </w:r>
          </w:p>
        </w:tc>
        <w:tc>
          <w:tcPr>
            <w:tcW w:type="dxa" w:w="72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$500k</w:t>
            </w:r>
          </w:p>
        </w:tc>
        <w:tc>
          <w:tcPr>
            <w:tcW w:type="dxa" w:w="72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Full</w:t>
            </w:r>
          </w:p>
        </w:tc>
        <w:tc>
          <w:tcPr>
            <w:tcW w:type="dxa" w:w="74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45%</w:t>
            </w:r>
          </w:p>
        </w:tc>
      </w:tr>
      <w:tr>
        <w:tc>
          <w:tcPr>
            <w:tcW w:type="dxa" w:w="840"/>
            <w:tcBorders>
              <w:top w:val="single" w:color="D1D5DB" w:sz="1"/>
              <w:left w:val="single" w:color="D1D5DB" w:sz="1"/>
              <w:bottom w:val="single" w:color="D1D5DB" w:sz="1"/>
              <w:right w:val="single" w:color="D1D5DB" w:sz="1"/>
            </w:tcBorders>
            <w:shd w:fill="E0EAFF" w:val="clear"/>
            <w:tcMar>
              <w:top w:type="dxa" w:w="80"/>
              <w:left w:type="dxa" w:w="120"/>
              <w:bottom w:type="dxa" w:w="80"/>
              <w:right w:type="dxa" w:w="120"/>
            </w:tcMar>
          </w:tcPr>
          <w:p>
            <w:pPr>
              <w:spacing w:after="40" w:before="40"/>
            </w:pPr>
            <w:r>
              <w:rPr>
                <w:rFonts w:ascii="Arial" w:cs="Arial" w:eastAsia="Arial" w:hAnsi="Arial"/>
                <w:b/>
                <w:bCs/>
                <w:color w:val="111827"/>
                <w:sz w:val="19"/>
                <w:szCs w:val="19"/>
              </w:rPr>
              <w:t xml:space="preserve">ARB-06</w:t>
            </w:r>
          </w:p>
        </w:tc>
        <w:tc>
          <w:tcPr>
            <w:tcW w:type="dxa" w:w="2520"/>
            <w:tcBorders>
              <w:top w:val="single" w:color="D1D5DB" w:sz="1"/>
              <w:left w:val="single" w:color="D1D5DB" w:sz="1"/>
              <w:bottom w:val="single" w:color="D1D5DB" w:sz="1"/>
              <w:right w:val="single" w:color="D1D5DB" w:sz="1"/>
            </w:tcBorders>
            <w:shd w:fill="FAFB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Cross-Platform Arbitrage</w:t>
            </w:r>
          </w:p>
        </w:tc>
        <w:tc>
          <w:tcPr>
            <w:tcW w:type="dxa" w:w="960"/>
            <w:tcBorders>
              <w:top w:val="single" w:color="D1D5DB" w:sz="1"/>
              <w:left w:val="single" w:color="D1D5DB" w:sz="1"/>
              <w:bottom w:val="single" w:color="D1D5DB" w:sz="1"/>
              <w:right w:val="single" w:color="D1D5DB" w:sz="1"/>
            </w:tcBorders>
            <w:shd w:fill="FAFB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Arbitrage</w:t>
            </w:r>
          </w:p>
        </w:tc>
        <w:tc>
          <w:tcPr>
            <w:tcW w:type="dxa" w:w="900"/>
            <w:tcBorders>
              <w:top w:val="single" w:color="D1D5DB" w:sz="1"/>
              <w:left w:val="single" w:color="D1D5DB" w:sz="1"/>
              <w:bottom w:val="single" w:color="D1D5DB" w:sz="1"/>
              <w:right w:val="single" w:color="D1D5DB" w:sz="1"/>
            </w:tcBorders>
            <w:shd w:fill="FAFB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Low</w:t>
            </w:r>
          </w:p>
        </w:tc>
        <w:tc>
          <w:tcPr>
            <w:tcW w:type="dxa" w:w="960"/>
            <w:tcBorders>
              <w:top w:val="single" w:color="D1D5DB" w:sz="1"/>
              <w:left w:val="single" w:color="D1D5DB" w:sz="1"/>
              <w:bottom w:val="single" w:color="D1D5DB" w:sz="1"/>
              <w:right w:val="single" w:color="D1D5DB" w:sz="1"/>
            </w:tcBorders>
            <w:shd w:fill="FAFB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Variable</w:t>
            </w:r>
          </w:p>
        </w:tc>
        <w:tc>
          <w:tcPr>
            <w:tcW w:type="dxa" w:w="720"/>
            <w:tcBorders>
              <w:top w:val="single" w:color="D1D5DB" w:sz="1"/>
              <w:left w:val="single" w:color="D1D5DB" w:sz="1"/>
              <w:bottom w:val="single" w:color="D1D5DB" w:sz="1"/>
              <w:right w:val="single" w:color="D1D5DB" w:sz="1"/>
            </w:tcBorders>
            <w:shd w:fill="FAFB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$2,000</w:t>
            </w:r>
          </w:p>
        </w:tc>
        <w:tc>
          <w:tcPr>
            <w:tcW w:type="dxa" w:w="720"/>
            <w:tcBorders>
              <w:top w:val="single" w:color="D1D5DB" w:sz="1"/>
              <w:left w:val="single" w:color="D1D5DB" w:sz="1"/>
              <w:bottom w:val="single" w:color="D1D5DB" w:sz="1"/>
              <w:right w:val="single" w:color="D1D5DB" w:sz="1"/>
            </w:tcBorders>
            <w:shd w:fill="FAFB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Partial</w:t>
            </w:r>
          </w:p>
        </w:tc>
        <w:tc>
          <w:tcPr>
            <w:tcW w:type="dxa" w:w="740"/>
            <w:tcBorders>
              <w:top w:val="single" w:color="D1D5DB" w:sz="1"/>
              <w:left w:val="single" w:color="D1D5DB" w:sz="1"/>
              <w:bottom w:val="single" w:color="D1D5DB" w:sz="1"/>
              <w:right w:val="single" w:color="D1D5DB" w:sz="1"/>
            </w:tcBorders>
            <w:shd w:fill="FAFB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N/A</w:t>
            </w:r>
          </w:p>
        </w:tc>
      </w:tr>
      <w:tr>
        <w:tc>
          <w:tcPr>
            <w:tcW w:type="dxa" w:w="840"/>
            <w:tcBorders>
              <w:top w:val="single" w:color="D1D5DB" w:sz="1"/>
              <w:left w:val="single" w:color="D1D5DB" w:sz="1"/>
              <w:bottom w:val="single" w:color="D1D5DB" w:sz="1"/>
              <w:right w:val="single" w:color="D1D5DB" w:sz="1"/>
            </w:tcBorders>
            <w:shd w:fill="E0EAFF" w:val="clear"/>
            <w:tcMar>
              <w:top w:type="dxa" w:w="80"/>
              <w:left w:type="dxa" w:w="120"/>
              <w:bottom w:type="dxa" w:w="80"/>
              <w:right w:type="dxa" w:w="120"/>
            </w:tcMar>
          </w:tcPr>
          <w:p>
            <w:pPr>
              <w:spacing w:after="40" w:before="40"/>
            </w:pPr>
            <w:r>
              <w:rPr>
                <w:rFonts w:ascii="Arial" w:cs="Arial" w:eastAsia="Arial" w:hAnsi="Arial"/>
                <w:b/>
                <w:bCs/>
                <w:color w:val="111827"/>
                <w:sz w:val="19"/>
                <w:szCs w:val="19"/>
              </w:rPr>
              <w:t xml:space="preserve">MINT-01</w:t>
            </w:r>
          </w:p>
        </w:tc>
        <w:tc>
          <w:tcPr>
            <w:tcW w:type="dxa" w:w="252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Single Mint $1,000</w:t>
            </w:r>
          </w:p>
        </w:tc>
        <w:tc>
          <w:tcPr>
            <w:tcW w:type="dxa" w:w="96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Minting</w:t>
            </w:r>
          </w:p>
        </w:tc>
        <w:tc>
          <w:tcPr>
            <w:tcW w:type="dxa" w:w="90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tcPr>
          <w:p>
            <w:pPr>
              <w:spacing w:after="40" w:before="40"/>
            </w:pPr>
            <w:r>
              <w:rPr>
                <w:rFonts w:ascii="Arial" w:cs="Arial" w:eastAsia="Arial" w:hAnsi="Arial"/>
                <w:b/>
                <w:bCs/>
                <w:color w:val="065F46"/>
                <w:sz w:val="19"/>
                <w:szCs w:val="19"/>
              </w:rPr>
              <w:t xml:space="preserve">Low</w:t>
            </w:r>
          </w:p>
        </w:tc>
        <w:tc>
          <w:tcPr>
            <w:tcW w:type="dxa" w:w="96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1.33%/cycle</w:t>
            </w:r>
          </w:p>
        </w:tc>
        <w:tc>
          <w:tcPr>
            <w:tcW w:type="dxa" w:w="72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$500</w:t>
            </w:r>
          </w:p>
        </w:tc>
        <w:tc>
          <w:tcPr>
            <w:tcW w:type="dxa" w:w="72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Full</w:t>
            </w:r>
          </w:p>
        </w:tc>
        <w:tc>
          <w:tcPr>
            <w:tcW w:type="dxa" w:w="74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High</w:t>
            </w:r>
          </w:p>
        </w:tc>
      </w:tr>
      <w:tr>
        <w:tc>
          <w:tcPr>
            <w:tcW w:type="dxa" w:w="840"/>
            <w:tcBorders>
              <w:top w:val="single" w:color="D1D5DB" w:sz="1"/>
              <w:left w:val="single" w:color="D1D5DB" w:sz="1"/>
              <w:bottom w:val="single" w:color="D1D5DB" w:sz="1"/>
              <w:right w:val="single" w:color="D1D5DB" w:sz="1"/>
            </w:tcBorders>
            <w:shd w:fill="E0EAFF" w:val="clear"/>
            <w:tcMar>
              <w:top w:type="dxa" w:w="80"/>
              <w:left w:type="dxa" w:w="120"/>
              <w:bottom w:type="dxa" w:w="80"/>
              <w:right w:type="dxa" w:w="120"/>
            </w:tcMar>
          </w:tcPr>
          <w:p>
            <w:pPr>
              <w:spacing w:after="40" w:before="40"/>
            </w:pPr>
            <w:r>
              <w:rPr>
                <w:rFonts w:ascii="Arial" w:cs="Arial" w:eastAsia="Arial" w:hAnsi="Arial"/>
                <w:b/>
                <w:bCs/>
                <w:color w:val="111827"/>
                <w:sz w:val="19"/>
                <w:szCs w:val="19"/>
              </w:rPr>
              <w:t xml:space="preserve">MINT-02</w:t>
            </w:r>
          </w:p>
        </w:tc>
        <w:tc>
          <w:tcPr>
            <w:tcW w:type="dxa" w:w="2520"/>
            <w:tcBorders>
              <w:top w:val="single" w:color="D1D5DB" w:sz="1"/>
              <w:left w:val="single" w:color="D1D5DB" w:sz="1"/>
              <w:bottom w:val="single" w:color="D1D5DB" w:sz="1"/>
              <w:right w:val="single" w:color="D1D5DB" w:sz="1"/>
            </w:tcBorders>
            <w:shd w:fill="FAFB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Two-Part Mint $500+$500</w:t>
            </w:r>
          </w:p>
        </w:tc>
        <w:tc>
          <w:tcPr>
            <w:tcW w:type="dxa" w:w="960"/>
            <w:tcBorders>
              <w:top w:val="single" w:color="D1D5DB" w:sz="1"/>
              <w:left w:val="single" w:color="D1D5DB" w:sz="1"/>
              <w:bottom w:val="single" w:color="D1D5DB" w:sz="1"/>
              <w:right w:val="single" w:color="D1D5DB" w:sz="1"/>
            </w:tcBorders>
            <w:shd w:fill="FAFB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Minting</w:t>
            </w:r>
          </w:p>
        </w:tc>
        <w:tc>
          <w:tcPr>
            <w:tcW w:type="dxa" w:w="90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tcPr>
          <w:p>
            <w:pPr>
              <w:spacing w:after="40" w:before="40"/>
            </w:pPr>
            <w:r>
              <w:rPr>
                <w:rFonts w:ascii="Arial" w:cs="Arial" w:eastAsia="Arial" w:hAnsi="Arial"/>
                <w:b/>
                <w:bCs/>
                <w:color w:val="065F46"/>
                <w:sz w:val="19"/>
                <w:szCs w:val="19"/>
              </w:rPr>
              <w:t xml:space="preserve">Very Low</w:t>
            </w:r>
          </w:p>
        </w:tc>
        <w:tc>
          <w:tcPr>
            <w:tcW w:type="dxa" w:w="960"/>
            <w:tcBorders>
              <w:top w:val="single" w:color="D1D5DB" w:sz="1"/>
              <w:left w:val="single" w:color="D1D5DB" w:sz="1"/>
              <w:bottom w:val="single" w:color="D1D5DB" w:sz="1"/>
              <w:right w:val="single" w:color="D1D5DB" w:sz="1"/>
            </w:tcBorders>
            <w:shd w:fill="FAFB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1.33%/cycle</w:t>
            </w:r>
          </w:p>
        </w:tc>
        <w:tc>
          <w:tcPr>
            <w:tcW w:type="dxa" w:w="720"/>
            <w:tcBorders>
              <w:top w:val="single" w:color="D1D5DB" w:sz="1"/>
              <w:left w:val="single" w:color="D1D5DB" w:sz="1"/>
              <w:bottom w:val="single" w:color="D1D5DB" w:sz="1"/>
              <w:right w:val="single" w:color="D1D5DB" w:sz="1"/>
            </w:tcBorders>
            <w:shd w:fill="FAFB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$200</w:t>
            </w:r>
          </w:p>
        </w:tc>
        <w:tc>
          <w:tcPr>
            <w:tcW w:type="dxa" w:w="720"/>
            <w:tcBorders>
              <w:top w:val="single" w:color="D1D5DB" w:sz="1"/>
              <w:left w:val="single" w:color="D1D5DB" w:sz="1"/>
              <w:bottom w:val="single" w:color="D1D5DB" w:sz="1"/>
              <w:right w:val="single" w:color="D1D5DB" w:sz="1"/>
            </w:tcBorders>
            <w:shd w:fill="FAFB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Full</w:t>
            </w:r>
          </w:p>
        </w:tc>
        <w:tc>
          <w:tcPr>
            <w:tcW w:type="dxa" w:w="740"/>
            <w:tcBorders>
              <w:top w:val="single" w:color="D1D5DB" w:sz="1"/>
              <w:left w:val="single" w:color="D1D5DB" w:sz="1"/>
              <w:bottom w:val="single" w:color="D1D5DB" w:sz="1"/>
              <w:right w:val="single" w:color="D1D5DB" w:sz="1"/>
            </w:tcBorders>
            <w:shd w:fill="FAFB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High</w:t>
            </w:r>
          </w:p>
        </w:tc>
      </w:tr>
      <w:tr>
        <w:tc>
          <w:tcPr>
            <w:tcW w:type="dxa" w:w="840"/>
            <w:tcBorders>
              <w:top w:val="single" w:color="D1D5DB" w:sz="1"/>
              <w:left w:val="single" w:color="D1D5DB" w:sz="1"/>
              <w:bottom w:val="single" w:color="D1D5DB" w:sz="1"/>
              <w:right w:val="single" w:color="D1D5DB" w:sz="1"/>
            </w:tcBorders>
            <w:shd w:fill="E0EAFF" w:val="clear"/>
            <w:tcMar>
              <w:top w:type="dxa" w:w="80"/>
              <w:left w:type="dxa" w:w="120"/>
              <w:bottom w:type="dxa" w:w="80"/>
              <w:right w:type="dxa" w:w="120"/>
            </w:tcMar>
          </w:tcPr>
          <w:p>
            <w:pPr>
              <w:spacing w:after="40" w:before="40"/>
            </w:pPr>
            <w:r>
              <w:rPr>
                <w:rFonts w:ascii="Arial" w:cs="Arial" w:eastAsia="Arial" w:hAnsi="Arial"/>
                <w:b/>
                <w:bCs/>
                <w:color w:val="111827"/>
                <w:sz w:val="19"/>
                <w:szCs w:val="19"/>
              </w:rPr>
              <w:t xml:space="preserve">MINT-03</w:t>
            </w:r>
          </w:p>
        </w:tc>
        <w:tc>
          <w:tcPr>
            <w:tcW w:type="dxa" w:w="252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Midpoint Market Making (Sc. A)</w:t>
            </w:r>
          </w:p>
        </w:tc>
        <w:tc>
          <w:tcPr>
            <w:tcW w:type="dxa" w:w="96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Minting</w:t>
            </w:r>
          </w:p>
        </w:tc>
        <w:tc>
          <w:tcPr>
            <w:tcW w:type="dxa" w:w="900"/>
            <w:tcBorders>
              <w:top w:val="single" w:color="D1D5DB" w:sz="1"/>
              <w:left w:val="single" w:color="D1D5DB" w:sz="1"/>
              <w:bottom w:val="single" w:color="D1D5DB" w:sz="1"/>
              <w:right w:val="single" w:color="D1D5DB" w:sz="1"/>
            </w:tcBorders>
            <w:shd w:fill="FEF9C3" w:val="clear"/>
            <w:tcMar>
              <w:top w:type="dxa" w:w="80"/>
              <w:left w:type="dxa" w:w="120"/>
              <w:bottom w:type="dxa" w:w="80"/>
              <w:right w:type="dxa" w:w="120"/>
            </w:tcMar>
          </w:tcPr>
          <w:p>
            <w:pPr>
              <w:spacing w:after="40" w:before="40"/>
            </w:pPr>
            <w:r>
              <w:rPr>
                <w:rFonts w:ascii="Arial" w:cs="Arial" w:eastAsia="Arial" w:hAnsi="Arial"/>
                <w:b w:val="false"/>
                <w:bCs w:val="false"/>
                <w:color w:val="854D0E"/>
                <w:sz w:val="19"/>
                <w:szCs w:val="19"/>
              </w:rPr>
              <w:t xml:space="preserve">Medium</w:t>
            </w:r>
          </w:p>
        </w:tc>
        <w:tc>
          <w:tcPr>
            <w:tcW w:type="dxa" w:w="96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APY ~16.5%</w:t>
            </w:r>
          </w:p>
        </w:tc>
        <w:tc>
          <w:tcPr>
            <w:tcW w:type="dxa" w:w="72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$500</w:t>
            </w:r>
          </w:p>
        </w:tc>
        <w:tc>
          <w:tcPr>
            <w:tcW w:type="dxa" w:w="72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Full</w:t>
            </w:r>
          </w:p>
        </w:tc>
        <w:tc>
          <w:tcPr>
            <w:tcW w:type="dxa" w:w="74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Variable</w:t>
            </w:r>
          </w:p>
        </w:tc>
      </w:tr>
      <w:tr>
        <w:tc>
          <w:tcPr>
            <w:tcW w:type="dxa" w:w="840"/>
            <w:tcBorders>
              <w:top w:val="single" w:color="D1D5DB" w:sz="1"/>
              <w:left w:val="single" w:color="D1D5DB" w:sz="1"/>
              <w:bottom w:val="single" w:color="D1D5DB" w:sz="1"/>
              <w:right w:val="single" w:color="D1D5DB" w:sz="1"/>
            </w:tcBorders>
            <w:shd w:fill="E0EAFF" w:val="clear"/>
            <w:tcMar>
              <w:top w:type="dxa" w:w="80"/>
              <w:left w:type="dxa" w:w="120"/>
              <w:bottom w:type="dxa" w:w="80"/>
              <w:right w:type="dxa" w:w="120"/>
            </w:tcMar>
          </w:tcPr>
          <w:p>
            <w:pPr>
              <w:spacing w:after="40" w:before="40"/>
            </w:pPr>
            <w:r>
              <w:rPr>
                <w:rFonts w:ascii="Arial" w:cs="Arial" w:eastAsia="Arial" w:hAnsi="Arial"/>
                <w:b/>
                <w:bCs/>
                <w:color w:val="111827"/>
                <w:sz w:val="19"/>
                <w:szCs w:val="19"/>
              </w:rPr>
              <w:t xml:space="preserve">MINT-04</w:t>
            </w:r>
          </w:p>
        </w:tc>
        <w:tc>
          <w:tcPr>
            <w:tcW w:type="dxa" w:w="2520"/>
            <w:tcBorders>
              <w:top w:val="single" w:color="D1D5DB" w:sz="1"/>
              <w:left w:val="single" w:color="D1D5DB" w:sz="1"/>
              <w:bottom w:val="single" w:color="D1D5DB" w:sz="1"/>
              <w:right w:val="single" w:color="D1D5DB" w:sz="1"/>
            </w:tcBorders>
            <w:shd w:fill="FAFB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Premium Market Making (Sc. B)</w:t>
            </w:r>
          </w:p>
        </w:tc>
        <w:tc>
          <w:tcPr>
            <w:tcW w:type="dxa" w:w="960"/>
            <w:tcBorders>
              <w:top w:val="single" w:color="D1D5DB" w:sz="1"/>
              <w:left w:val="single" w:color="D1D5DB" w:sz="1"/>
              <w:bottom w:val="single" w:color="D1D5DB" w:sz="1"/>
              <w:right w:val="single" w:color="D1D5DB" w:sz="1"/>
            </w:tcBorders>
            <w:shd w:fill="FAFB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Minting</w:t>
            </w:r>
          </w:p>
        </w:tc>
        <w:tc>
          <w:tcPr>
            <w:tcW w:type="dxa" w:w="90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tcPr>
          <w:p>
            <w:pPr>
              <w:spacing w:after="40" w:before="40"/>
            </w:pPr>
            <w:r>
              <w:rPr>
                <w:rFonts w:ascii="Arial" w:cs="Arial" w:eastAsia="Arial" w:hAnsi="Arial"/>
                <w:b/>
                <w:bCs/>
                <w:color w:val="065F46"/>
                <w:sz w:val="19"/>
                <w:szCs w:val="19"/>
              </w:rPr>
              <w:t xml:space="preserve">Low</w:t>
            </w:r>
          </w:p>
        </w:tc>
        <w:tc>
          <w:tcPr>
            <w:tcW w:type="dxa" w:w="960"/>
            <w:tcBorders>
              <w:top w:val="single" w:color="D1D5DB" w:sz="1"/>
              <w:left w:val="single" w:color="D1D5DB" w:sz="1"/>
              <w:bottom w:val="single" w:color="D1D5DB" w:sz="1"/>
              <w:right w:val="single" w:color="D1D5DB" w:sz="1"/>
            </w:tcBorders>
            <w:shd w:fill="FAFB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1.36%/cycle</w:t>
            </w:r>
          </w:p>
        </w:tc>
        <w:tc>
          <w:tcPr>
            <w:tcW w:type="dxa" w:w="720"/>
            <w:tcBorders>
              <w:top w:val="single" w:color="D1D5DB" w:sz="1"/>
              <w:left w:val="single" w:color="D1D5DB" w:sz="1"/>
              <w:bottom w:val="single" w:color="D1D5DB" w:sz="1"/>
              <w:right w:val="single" w:color="D1D5DB" w:sz="1"/>
            </w:tcBorders>
            <w:shd w:fill="FAFB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$500</w:t>
            </w:r>
          </w:p>
        </w:tc>
        <w:tc>
          <w:tcPr>
            <w:tcW w:type="dxa" w:w="720"/>
            <w:tcBorders>
              <w:top w:val="single" w:color="D1D5DB" w:sz="1"/>
              <w:left w:val="single" w:color="D1D5DB" w:sz="1"/>
              <w:bottom w:val="single" w:color="D1D5DB" w:sz="1"/>
              <w:right w:val="single" w:color="D1D5DB" w:sz="1"/>
            </w:tcBorders>
            <w:shd w:fill="FAFB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Full</w:t>
            </w:r>
          </w:p>
        </w:tc>
        <w:tc>
          <w:tcPr>
            <w:tcW w:type="dxa" w:w="740"/>
            <w:tcBorders>
              <w:top w:val="single" w:color="D1D5DB" w:sz="1"/>
              <w:left w:val="single" w:color="D1D5DB" w:sz="1"/>
              <w:bottom w:val="single" w:color="D1D5DB" w:sz="1"/>
              <w:right w:val="single" w:color="D1D5DB" w:sz="1"/>
            </w:tcBorders>
            <w:shd w:fill="FAFB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High</w:t>
            </w:r>
          </w:p>
        </w:tc>
      </w:tr>
      <w:tr>
        <w:tc>
          <w:tcPr>
            <w:tcW w:type="dxa" w:w="840"/>
            <w:tcBorders>
              <w:top w:val="single" w:color="D1D5DB" w:sz="1"/>
              <w:left w:val="single" w:color="D1D5DB" w:sz="1"/>
              <w:bottom w:val="single" w:color="D1D5DB" w:sz="1"/>
              <w:right w:val="single" w:color="D1D5DB" w:sz="1"/>
            </w:tcBorders>
            <w:shd w:fill="E0EAFF" w:val="clear"/>
            <w:tcMar>
              <w:top w:type="dxa" w:w="80"/>
              <w:left w:type="dxa" w:w="120"/>
              <w:bottom w:type="dxa" w:w="80"/>
              <w:right w:type="dxa" w:w="120"/>
            </w:tcMar>
          </w:tcPr>
          <w:p>
            <w:pPr>
              <w:spacing w:after="40" w:before="40"/>
            </w:pPr>
            <w:r>
              <w:rPr>
                <w:rFonts w:ascii="Arial" w:cs="Arial" w:eastAsia="Arial" w:hAnsi="Arial"/>
                <w:b/>
                <w:bCs/>
                <w:color w:val="111827"/>
                <w:sz w:val="19"/>
                <w:szCs w:val="19"/>
              </w:rPr>
              <w:t xml:space="preserve">MINT-05</w:t>
            </w:r>
          </w:p>
        </w:tc>
        <w:tc>
          <w:tcPr>
            <w:tcW w:type="dxa" w:w="252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Sweet Spot Market Making</w:t>
            </w:r>
          </w:p>
        </w:tc>
        <w:tc>
          <w:tcPr>
            <w:tcW w:type="dxa" w:w="96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Minting</w:t>
            </w:r>
          </w:p>
        </w:tc>
        <w:tc>
          <w:tcPr>
            <w:tcW w:type="dxa" w:w="90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tcPr>
          <w:p>
            <w:pPr>
              <w:spacing w:after="40" w:before="40"/>
            </w:pPr>
            <w:r>
              <w:rPr>
                <w:rFonts w:ascii="Arial" w:cs="Arial" w:eastAsia="Arial" w:hAnsi="Arial"/>
                <w:b/>
                <w:bCs/>
                <w:color w:val="065F46"/>
                <w:sz w:val="19"/>
                <w:szCs w:val="19"/>
              </w:rPr>
              <w:t xml:space="preserve">Low</w:t>
            </w:r>
          </w:p>
        </w:tc>
        <w:tc>
          <w:tcPr>
            <w:tcW w:type="dxa" w:w="96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Variable</w:t>
            </w:r>
          </w:p>
        </w:tc>
        <w:tc>
          <w:tcPr>
            <w:tcW w:type="dxa" w:w="72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$500</w:t>
            </w:r>
          </w:p>
        </w:tc>
        <w:tc>
          <w:tcPr>
            <w:tcW w:type="dxa" w:w="72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Full</w:t>
            </w:r>
          </w:p>
        </w:tc>
        <w:tc>
          <w:tcPr>
            <w:tcW w:type="dxa" w:w="74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High</w:t>
            </w:r>
          </w:p>
        </w:tc>
      </w:tr>
      <w:tr>
        <w:tc>
          <w:tcPr>
            <w:tcW w:type="dxa" w:w="840"/>
            <w:tcBorders>
              <w:top w:val="single" w:color="D1D5DB" w:sz="1"/>
              <w:left w:val="single" w:color="D1D5DB" w:sz="1"/>
              <w:bottom w:val="single" w:color="D1D5DB" w:sz="1"/>
              <w:right w:val="single" w:color="D1D5DB" w:sz="1"/>
            </w:tcBorders>
            <w:shd w:fill="E0EAFF" w:val="clear"/>
            <w:tcMar>
              <w:top w:type="dxa" w:w="80"/>
              <w:left w:type="dxa" w:w="120"/>
              <w:bottom w:type="dxa" w:w="80"/>
              <w:right w:type="dxa" w:w="120"/>
            </w:tcMar>
          </w:tcPr>
          <w:p>
            <w:pPr>
              <w:spacing w:after="40" w:before="40"/>
            </w:pPr>
            <w:r>
              <w:rPr>
                <w:rFonts w:ascii="Arial" w:cs="Arial" w:eastAsia="Arial" w:hAnsi="Arial"/>
                <w:b/>
                <w:bCs/>
                <w:color w:val="111827"/>
                <w:sz w:val="19"/>
                <w:szCs w:val="19"/>
              </w:rPr>
              <w:t xml:space="preserve">MINT-06</w:t>
            </w:r>
          </w:p>
        </w:tc>
        <w:tc>
          <w:tcPr>
            <w:tcW w:type="dxa" w:w="2520"/>
            <w:tcBorders>
              <w:top w:val="single" w:color="D1D5DB" w:sz="1"/>
              <w:left w:val="single" w:color="D1D5DB" w:sz="1"/>
              <w:bottom w:val="single" w:color="D1D5DB" w:sz="1"/>
              <w:right w:val="single" w:color="D1D5DB" w:sz="1"/>
            </w:tcBorders>
            <w:shd w:fill="FAFB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Accelerated Compounding</w:t>
            </w:r>
          </w:p>
        </w:tc>
        <w:tc>
          <w:tcPr>
            <w:tcW w:type="dxa" w:w="960"/>
            <w:tcBorders>
              <w:top w:val="single" w:color="D1D5DB" w:sz="1"/>
              <w:left w:val="single" w:color="D1D5DB" w:sz="1"/>
              <w:bottom w:val="single" w:color="D1D5DB" w:sz="1"/>
              <w:right w:val="single" w:color="D1D5DB" w:sz="1"/>
            </w:tcBorders>
            <w:shd w:fill="FAFB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Minting</w:t>
            </w:r>
          </w:p>
        </w:tc>
        <w:tc>
          <w:tcPr>
            <w:tcW w:type="dxa" w:w="90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tcPr>
          <w:p>
            <w:pPr>
              <w:spacing w:after="40" w:before="40"/>
            </w:pPr>
            <w:r>
              <w:rPr>
                <w:rFonts w:ascii="Arial" w:cs="Arial" w:eastAsia="Arial" w:hAnsi="Arial"/>
                <w:b/>
                <w:bCs/>
                <w:color w:val="065F46"/>
                <w:sz w:val="19"/>
                <w:szCs w:val="19"/>
              </w:rPr>
              <w:t xml:space="preserve">Low</w:t>
            </w:r>
          </w:p>
        </w:tc>
        <w:tc>
          <w:tcPr>
            <w:tcW w:type="dxa" w:w="960"/>
            <w:tcBorders>
              <w:top w:val="single" w:color="D1D5DB" w:sz="1"/>
              <w:left w:val="single" w:color="D1D5DB" w:sz="1"/>
              <w:bottom w:val="single" w:color="D1D5DB" w:sz="1"/>
              <w:right w:val="single" w:color="D1D5DB" w:sz="1"/>
            </w:tcBorders>
            <w:shd w:fill="FAFB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~40.6%/mo</w:t>
            </w:r>
          </w:p>
        </w:tc>
        <w:tc>
          <w:tcPr>
            <w:tcW w:type="dxa" w:w="720"/>
            <w:tcBorders>
              <w:top w:val="single" w:color="D1D5DB" w:sz="1"/>
              <w:left w:val="single" w:color="D1D5DB" w:sz="1"/>
              <w:bottom w:val="single" w:color="D1D5DB" w:sz="1"/>
              <w:right w:val="single" w:color="D1D5DB" w:sz="1"/>
            </w:tcBorders>
            <w:shd w:fill="FAFB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$500</w:t>
            </w:r>
          </w:p>
        </w:tc>
        <w:tc>
          <w:tcPr>
            <w:tcW w:type="dxa" w:w="720"/>
            <w:tcBorders>
              <w:top w:val="single" w:color="D1D5DB" w:sz="1"/>
              <w:left w:val="single" w:color="D1D5DB" w:sz="1"/>
              <w:bottom w:val="single" w:color="D1D5DB" w:sz="1"/>
              <w:right w:val="single" w:color="D1D5DB" w:sz="1"/>
            </w:tcBorders>
            <w:shd w:fill="FAFB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Full</w:t>
            </w:r>
          </w:p>
        </w:tc>
        <w:tc>
          <w:tcPr>
            <w:tcW w:type="dxa" w:w="740"/>
            <w:tcBorders>
              <w:top w:val="single" w:color="D1D5DB" w:sz="1"/>
              <w:left w:val="single" w:color="D1D5DB" w:sz="1"/>
              <w:bottom w:val="single" w:color="D1D5DB" w:sz="1"/>
              <w:right w:val="single" w:color="D1D5DB" w:sz="1"/>
            </w:tcBorders>
            <w:shd w:fill="FAFB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High</w:t>
            </w:r>
          </w:p>
        </w:tc>
      </w:tr>
      <w:tr>
        <w:tc>
          <w:tcPr>
            <w:tcW w:type="dxa" w:w="840"/>
            <w:tcBorders>
              <w:top w:val="single" w:color="D1D5DB" w:sz="1"/>
              <w:left w:val="single" w:color="D1D5DB" w:sz="1"/>
              <w:bottom w:val="single" w:color="D1D5DB" w:sz="1"/>
              <w:right w:val="single" w:color="D1D5DB" w:sz="1"/>
            </w:tcBorders>
            <w:shd w:fill="E0EAFF" w:val="clear"/>
            <w:tcMar>
              <w:top w:type="dxa" w:w="80"/>
              <w:left w:type="dxa" w:w="120"/>
              <w:bottom w:type="dxa" w:w="80"/>
              <w:right w:type="dxa" w:w="120"/>
            </w:tcMar>
          </w:tcPr>
          <w:p>
            <w:pPr>
              <w:spacing w:after="40" w:before="40"/>
            </w:pPr>
            <w:r>
              <w:rPr>
                <w:rFonts w:ascii="Arial" w:cs="Arial" w:eastAsia="Arial" w:hAnsi="Arial"/>
                <w:b/>
                <w:bCs/>
                <w:color w:val="111827"/>
                <w:sz w:val="19"/>
                <w:szCs w:val="19"/>
              </w:rPr>
              <w:t xml:space="preserve">TRADE-01</w:t>
            </w:r>
          </w:p>
        </w:tc>
        <w:tc>
          <w:tcPr>
            <w:tcW w:type="dxa" w:w="252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News Catalyst Trading</w:t>
            </w:r>
          </w:p>
        </w:tc>
        <w:tc>
          <w:tcPr>
            <w:tcW w:type="dxa" w:w="96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Trading</w:t>
            </w:r>
          </w:p>
        </w:tc>
        <w:tc>
          <w:tcPr>
            <w:tcW w:type="dxa" w:w="90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Moderate</w:t>
            </w:r>
          </w:p>
        </w:tc>
        <w:tc>
          <w:tcPr>
            <w:tcW w:type="dxa" w:w="96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Variable</w:t>
            </w:r>
          </w:p>
        </w:tc>
        <w:tc>
          <w:tcPr>
            <w:tcW w:type="dxa" w:w="72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$200</w:t>
            </w:r>
          </w:p>
        </w:tc>
        <w:tc>
          <w:tcPr>
            <w:tcW w:type="dxa" w:w="72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Partial</w:t>
            </w:r>
          </w:p>
        </w:tc>
        <w:tc>
          <w:tcPr>
            <w:tcW w:type="dxa" w:w="74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Variable</w:t>
            </w:r>
          </w:p>
        </w:tc>
      </w:tr>
      <w:tr>
        <w:tc>
          <w:tcPr>
            <w:tcW w:type="dxa" w:w="840"/>
            <w:tcBorders>
              <w:top w:val="single" w:color="D1D5DB" w:sz="1"/>
              <w:left w:val="single" w:color="D1D5DB" w:sz="1"/>
              <w:bottom w:val="single" w:color="D1D5DB" w:sz="1"/>
              <w:right w:val="single" w:color="D1D5DB" w:sz="1"/>
            </w:tcBorders>
            <w:shd w:fill="E0EAFF" w:val="clear"/>
            <w:tcMar>
              <w:top w:type="dxa" w:w="80"/>
              <w:left w:type="dxa" w:w="120"/>
              <w:bottom w:type="dxa" w:w="80"/>
              <w:right w:type="dxa" w:w="120"/>
            </w:tcMar>
          </w:tcPr>
          <w:p>
            <w:pPr>
              <w:spacing w:after="40" w:before="40"/>
            </w:pPr>
            <w:r>
              <w:rPr>
                <w:rFonts w:ascii="Arial" w:cs="Arial" w:eastAsia="Arial" w:hAnsi="Arial"/>
                <w:b/>
                <w:bCs/>
                <w:color w:val="111827"/>
                <w:sz w:val="19"/>
                <w:szCs w:val="19"/>
              </w:rPr>
              <w:t xml:space="preserve">TRADE-02</w:t>
            </w:r>
          </w:p>
        </w:tc>
        <w:tc>
          <w:tcPr>
            <w:tcW w:type="dxa" w:w="2520"/>
            <w:tcBorders>
              <w:top w:val="single" w:color="D1D5DB" w:sz="1"/>
              <w:left w:val="single" w:color="D1D5DB" w:sz="1"/>
              <w:bottom w:val="single" w:color="D1D5DB" w:sz="1"/>
              <w:right w:val="single" w:color="D1D5DB" w:sz="1"/>
            </w:tcBorders>
            <w:shd w:fill="FAFB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Momentum Trading</w:t>
            </w:r>
          </w:p>
        </w:tc>
        <w:tc>
          <w:tcPr>
            <w:tcW w:type="dxa" w:w="960"/>
            <w:tcBorders>
              <w:top w:val="single" w:color="D1D5DB" w:sz="1"/>
              <w:left w:val="single" w:color="D1D5DB" w:sz="1"/>
              <w:bottom w:val="single" w:color="D1D5DB" w:sz="1"/>
              <w:right w:val="single" w:color="D1D5DB" w:sz="1"/>
            </w:tcBorders>
            <w:shd w:fill="FAFB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Trading</w:t>
            </w:r>
          </w:p>
        </w:tc>
        <w:tc>
          <w:tcPr>
            <w:tcW w:type="dxa" w:w="900"/>
            <w:tcBorders>
              <w:top w:val="single" w:color="D1D5DB" w:sz="1"/>
              <w:left w:val="single" w:color="D1D5DB" w:sz="1"/>
              <w:bottom w:val="single" w:color="D1D5DB" w:sz="1"/>
              <w:right w:val="single" w:color="D1D5DB" w:sz="1"/>
            </w:tcBorders>
            <w:shd w:fill="FAFB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Moderate</w:t>
            </w:r>
          </w:p>
        </w:tc>
        <w:tc>
          <w:tcPr>
            <w:tcW w:type="dxa" w:w="960"/>
            <w:tcBorders>
              <w:top w:val="single" w:color="D1D5DB" w:sz="1"/>
              <w:left w:val="single" w:color="D1D5DB" w:sz="1"/>
              <w:bottom w:val="single" w:color="D1D5DB" w:sz="1"/>
              <w:right w:val="single" w:color="D1D5DB" w:sz="1"/>
            </w:tcBorders>
            <w:shd w:fill="FAFB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Variable</w:t>
            </w:r>
          </w:p>
        </w:tc>
        <w:tc>
          <w:tcPr>
            <w:tcW w:type="dxa" w:w="720"/>
            <w:tcBorders>
              <w:top w:val="single" w:color="D1D5DB" w:sz="1"/>
              <w:left w:val="single" w:color="D1D5DB" w:sz="1"/>
              <w:bottom w:val="single" w:color="D1D5DB" w:sz="1"/>
              <w:right w:val="single" w:color="D1D5DB" w:sz="1"/>
            </w:tcBorders>
            <w:shd w:fill="FAFB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$100</w:t>
            </w:r>
          </w:p>
        </w:tc>
        <w:tc>
          <w:tcPr>
            <w:tcW w:type="dxa" w:w="720"/>
            <w:tcBorders>
              <w:top w:val="single" w:color="D1D5DB" w:sz="1"/>
              <w:left w:val="single" w:color="D1D5DB" w:sz="1"/>
              <w:bottom w:val="single" w:color="D1D5DB" w:sz="1"/>
              <w:right w:val="single" w:color="D1D5DB" w:sz="1"/>
            </w:tcBorders>
            <w:shd w:fill="FAFB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Full</w:t>
            </w:r>
          </w:p>
        </w:tc>
        <w:tc>
          <w:tcPr>
            <w:tcW w:type="dxa" w:w="740"/>
            <w:tcBorders>
              <w:top w:val="single" w:color="D1D5DB" w:sz="1"/>
              <w:left w:val="single" w:color="D1D5DB" w:sz="1"/>
              <w:bottom w:val="single" w:color="D1D5DB" w:sz="1"/>
              <w:right w:val="single" w:color="D1D5DB" w:sz="1"/>
            </w:tcBorders>
            <w:shd w:fill="FAFB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Variable</w:t>
            </w:r>
          </w:p>
        </w:tc>
      </w:tr>
      <w:tr>
        <w:tc>
          <w:tcPr>
            <w:tcW w:type="dxa" w:w="840"/>
            <w:tcBorders>
              <w:top w:val="single" w:color="D1D5DB" w:sz="1"/>
              <w:left w:val="single" w:color="D1D5DB" w:sz="1"/>
              <w:bottom w:val="single" w:color="D1D5DB" w:sz="1"/>
              <w:right w:val="single" w:color="D1D5DB" w:sz="1"/>
            </w:tcBorders>
            <w:shd w:fill="E0EAFF" w:val="clear"/>
            <w:tcMar>
              <w:top w:type="dxa" w:w="80"/>
              <w:left w:type="dxa" w:w="120"/>
              <w:bottom w:type="dxa" w:w="80"/>
              <w:right w:type="dxa" w:w="120"/>
            </w:tcMar>
          </w:tcPr>
          <w:p>
            <w:pPr>
              <w:spacing w:after="40" w:before="40"/>
            </w:pPr>
            <w:r>
              <w:rPr>
                <w:rFonts w:ascii="Arial" w:cs="Arial" w:eastAsia="Arial" w:hAnsi="Arial"/>
                <w:b/>
                <w:bCs/>
                <w:color w:val="111827"/>
                <w:sz w:val="19"/>
                <w:szCs w:val="19"/>
              </w:rPr>
              <w:t xml:space="preserve">TRADE-03</w:t>
            </w:r>
          </w:p>
        </w:tc>
        <w:tc>
          <w:tcPr>
            <w:tcW w:type="dxa" w:w="252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Contrarian (No Bias)</w:t>
            </w:r>
          </w:p>
        </w:tc>
        <w:tc>
          <w:tcPr>
            <w:tcW w:type="dxa" w:w="96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Trading</w:t>
            </w:r>
          </w:p>
        </w:tc>
        <w:tc>
          <w:tcPr>
            <w:tcW w:type="dxa" w:w="90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Moderate</w:t>
            </w:r>
          </w:p>
        </w:tc>
        <w:tc>
          <w:tcPr>
            <w:tcW w:type="dxa" w:w="96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Variable</w:t>
            </w:r>
          </w:p>
        </w:tc>
        <w:tc>
          <w:tcPr>
            <w:tcW w:type="dxa" w:w="72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$100</w:t>
            </w:r>
          </w:p>
        </w:tc>
        <w:tc>
          <w:tcPr>
            <w:tcW w:type="dxa" w:w="72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Partial</w:t>
            </w:r>
          </w:p>
        </w:tc>
        <w:tc>
          <w:tcPr>
            <w:tcW w:type="dxa" w:w="74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Variable</w:t>
            </w:r>
          </w:p>
        </w:tc>
      </w:tr>
      <w:tr>
        <w:tc>
          <w:tcPr>
            <w:tcW w:type="dxa" w:w="840"/>
            <w:tcBorders>
              <w:top w:val="single" w:color="D1D5DB" w:sz="1"/>
              <w:left w:val="single" w:color="D1D5DB" w:sz="1"/>
              <w:bottom w:val="single" w:color="D1D5DB" w:sz="1"/>
              <w:right w:val="single" w:color="D1D5DB" w:sz="1"/>
            </w:tcBorders>
            <w:shd w:fill="E0EAFF" w:val="clear"/>
            <w:tcMar>
              <w:top w:type="dxa" w:w="80"/>
              <w:left w:type="dxa" w:w="120"/>
              <w:bottom w:type="dxa" w:w="80"/>
              <w:right w:type="dxa" w:w="120"/>
            </w:tcMar>
          </w:tcPr>
          <w:p>
            <w:pPr>
              <w:spacing w:after="40" w:before="40"/>
            </w:pPr>
            <w:r>
              <w:rPr>
                <w:rFonts w:ascii="Arial" w:cs="Arial" w:eastAsia="Arial" w:hAnsi="Arial"/>
                <w:b/>
                <w:bCs/>
                <w:color w:val="111827"/>
                <w:sz w:val="19"/>
                <w:szCs w:val="19"/>
              </w:rPr>
              <w:t xml:space="preserve">TRADE-04</w:t>
            </w:r>
          </w:p>
        </w:tc>
        <w:tc>
          <w:tcPr>
            <w:tcW w:type="dxa" w:w="2520"/>
            <w:tcBorders>
              <w:top w:val="single" w:color="D1D5DB" w:sz="1"/>
              <w:left w:val="single" w:color="D1D5DB" w:sz="1"/>
              <w:bottom w:val="single" w:color="D1D5DB" w:sz="1"/>
              <w:right w:val="single" w:color="D1D5DB" w:sz="1"/>
            </w:tcBorders>
            <w:shd w:fill="FAFB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Information Asymmetry</w:t>
            </w:r>
          </w:p>
        </w:tc>
        <w:tc>
          <w:tcPr>
            <w:tcW w:type="dxa" w:w="960"/>
            <w:tcBorders>
              <w:top w:val="single" w:color="D1D5DB" w:sz="1"/>
              <w:left w:val="single" w:color="D1D5DB" w:sz="1"/>
              <w:bottom w:val="single" w:color="D1D5DB" w:sz="1"/>
              <w:right w:val="single" w:color="D1D5DB" w:sz="1"/>
            </w:tcBorders>
            <w:shd w:fill="FAFB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Trading</w:t>
            </w:r>
          </w:p>
        </w:tc>
        <w:tc>
          <w:tcPr>
            <w:tcW w:type="dxa" w:w="900"/>
            <w:tcBorders>
              <w:top w:val="single" w:color="D1D5DB" w:sz="1"/>
              <w:left w:val="single" w:color="D1D5DB" w:sz="1"/>
              <w:bottom w:val="single" w:color="D1D5DB" w:sz="1"/>
              <w:right w:val="single" w:color="D1D5DB" w:sz="1"/>
            </w:tcBorders>
            <w:shd w:fill="FAFB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Moderate</w:t>
            </w:r>
          </w:p>
        </w:tc>
        <w:tc>
          <w:tcPr>
            <w:tcW w:type="dxa" w:w="960"/>
            <w:tcBorders>
              <w:top w:val="single" w:color="D1D5DB" w:sz="1"/>
              <w:left w:val="single" w:color="D1D5DB" w:sz="1"/>
              <w:bottom w:val="single" w:color="D1D5DB" w:sz="1"/>
              <w:right w:val="single" w:color="D1D5DB" w:sz="1"/>
            </w:tcBorders>
            <w:shd w:fill="FAFB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Variable</w:t>
            </w:r>
          </w:p>
        </w:tc>
        <w:tc>
          <w:tcPr>
            <w:tcW w:type="dxa" w:w="720"/>
            <w:tcBorders>
              <w:top w:val="single" w:color="D1D5DB" w:sz="1"/>
              <w:left w:val="single" w:color="D1D5DB" w:sz="1"/>
              <w:bottom w:val="single" w:color="D1D5DB" w:sz="1"/>
              <w:right w:val="single" w:color="D1D5DB" w:sz="1"/>
            </w:tcBorders>
            <w:shd w:fill="FAFB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$100</w:t>
            </w:r>
          </w:p>
        </w:tc>
        <w:tc>
          <w:tcPr>
            <w:tcW w:type="dxa" w:w="720"/>
            <w:tcBorders>
              <w:top w:val="single" w:color="D1D5DB" w:sz="1"/>
              <w:left w:val="single" w:color="D1D5DB" w:sz="1"/>
              <w:bottom w:val="single" w:color="D1D5DB" w:sz="1"/>
              <w:right w:val="single" w:color="D1D5DB" w:sz="1"/>
            </w:tcBorders>
            <w:shd w:fill="FAFB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Manual</w:t>
            </w:r>
          </w:p>
        </w:tc>
        <w:tc>
          <w:tcPr>
            <w:tcW w:type="dxa" w:w="740"/>
            <w:tcBorders>
              <w:top w:val="single" w:color="D1D5DB" w:sz="1"/>
              <w:left w:val="single" w:color="D1D5DB" w:sz="1"/>
              <w:bottom w:val="single" w:color="D1D5DB" w:sz="1"/>
              <w:right w:val="single" w:color="D1D5DB" w:sz="1"/>
            </w:tcBorders>
            <w:shd w:fill="FAFB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Variable</w:t>
            </w:r>
          </w:p>
        </w:tc>
      </w:tr>
      <w:tr>
        <w:tc>
          <w:tcPr>
            <w:tcW w:type="dxa" w:w="840"/>
            <w:tcBorders>
              <w:top w:val="single" w:color="D1D5DB" w:sz="1"/>
              <w:left w:val="single" w:color="D1D5DB" w:sz="1"/>
              <w:bottom w:val="single" w:color="D1D5DB" w:sz="1"/>
              <w:right w:val="single" w:color="D1D5DB" w:sz="1"/>
            </w:tcBorders>
            <w:shd w:fill="E0EAFF" w:val="clear"/>
            <w:tcMar>
              <w:top w:type="dxa" w:w="80"/>
              <w:left w:type="dxa" w:w="120"/>
              <w:bottom w:type="dxa" w:w="80"/>
              <w:right w:type="dxa" w:w="120"/>
            </w:tcMar>
          </w:tcPr>
          <w:p>
            <w:pPr>
              <w:spacing w:after="40" w:before="40"/>
            </w:pPr>
            <w:r>
              <w:rPr>
                <w:rFonts w:ascii="Arial" w:cs="Arial" w:eastAsia="Arial" w:hAnsi="Arial"/>
                <w:b/>
                <w:bCs/>
                <w:color w:val="111827"/>
                <w:sz w:val="19"/>
                <w:szCs w:val="19"/>
              </w:rPr>
              <w:t xml:space="preserve">HEDGE-01</w:t>
            </w:r>
          </w:p>
        </w:tc>
        <w:tc>
          <w:tcPr>
            <w:tcW w:type="dxa" w:w="252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Crypto Portfolio Hedge</w:t>
            </w:r>
          </w:p>
        </w:tc>
        <w:tc>
          <w:tcPr>
            <w:tcW w:type="dxa" w:w="96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Hedging</w:t>
            </w:r>
          </w:p>
        </w:tc>
        <w:tc>
          <w:tcPr>
            <w:tcW w:type="dxa" w:w="90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Variable</w:t>
            </w:r>
          </w:p>
        </w:tc>
        <w:tc>
          <w:tcPr>
            <w:tcW w:type="dxa" w:w="96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Compens.</w:t>
            </w:r>
          </w:p>
        </w:tc>
        <w:tc>
          <w:tcPr>
            <w:tcW w:type="dxa" w:w="72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$500</w:t>
            </w:r>
          </w:p>
        </w:tc>
        <w:tc>
          <w:tcPr>
            <w:tcW w:type="dxa" w:w="72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Partial</w:t>
            </w:r>
          </w:p>
        </w:tc>
        <w:tc>
          <w:tcPr>
            <w:tcW w:type="dxa" w:w="74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N/A</w:t>
            </w:r>
          </w:p>
        </w:tc>
      </w:tr>
      <w:tr>
        <w:tc>
          <w:tcPr>
            <w:tcW w:type="dxa" w:w="840"/>
            <w:tcBorders>
              <w:top w:val="single" w:color="D1D5DB" w:sz="1"/>
              <w:left w:val="single" w:color="D1D5DB" w:sz="1"/>
              <w:bottom w:val="single" w:color="D1D5DB" w:sz="1"/>
              <w:right w:val="single" w:color="D1D5DB" w:sz="1"/>
            </w:tcBorders>
            <w:shd w:fill="E0EAFF" w:val="clear"/>
            <w:tcMar>
              <w:top w:type="dxa" w:w="80"/>
              <w:left w:type="dxa" w:w="120"/>
              <w:bottom w:type="dxa" w:w="80"/>
              <w:right w:type="dxa" w:w="120"/>
            </w:tcMar>
          </w:tcPr>
          <w:p>
            <w:pPr>
              <w:spacing w:after="40" w:before="40"/>
            </w:pPr>
            <w:r>
              <w:rPr>
                <w:rFonts w:ascii="Arial" w:cs="Arial" w:eastAsia="Arial" w:hAnsi="Arial"/>
                <w:b/>
                <w:bCs/>
                <w:color w:val="111827"/>
                <w:sz w:val="19"/>
                <w:szCs w:val="19"/>
              </w:rPr>
              <w:t xml:space="preserve">HEDGE-02</w:t>
            </w:r>
          </w:p>
        </w:tc>
        <w:tc>
          <w:tcPr>
            <w:tcW w:type="dxa" w:w="2520"/>
            <w:tcBorders>
              <w:top w:val="single" w:color="D1D5DB" w:sz="1"/>
              <w:left w:val="single" w:color="D1D5DB" w:sz="1"/>
              <w:bottom w:val="single" w:color="D1D5DB" w:sz="1"/>
              <w:right w:val="single" w:color="D1D5DB" w:sz="1"/>
            </w:tcBorders>
            <w:shd w:fill="FAFB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Business Event Insurance</w:t>
            </w:r>
          </w:p>
        </w:tc>
        <w:tc>
          <w:tcPr>
            <w:tcW w:type="dxa" w:w="960"/>
            <w:tcBorders>
              <w:top w:val="single" w:color="D1D5DB" w:sz="1"/>
              <w:left w:val="single" w:color="D1D5DB" w:sz="1"/>
              <w:bottom w:val="single" w:color="D1D5DB" w:sz="1"/>
              <w:right w:val="single" w:color="D1D5DB" w:sz="1"/>
            </w:tcBorders>
            <w:shd w:fill="FAFB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Hedging</w:t>
            </w:r>
          </w:p>
        </w:tc>
        <w:tc>
          <w:tcPr>
            <w:tcW w:type="dxa" w:w="90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tcPr>
          <w:p>
            <w:pPr>
              <w:spacing w:after="40" w:before="40"/>
            </w:pPr>
            <w:r>
              <w:rPr>
                <w:rFonts w:ascii="Arial" w:cs="Arial" w:eastAsia="Arial" w:hAnsi="Arial"/>
                <w:b/>
                <w:bCs/>
                <w:color w:val="065F46"/>
                <w:sz w:val="19"/>
                <w:szCs w:val="19"/>
              </w:rPr>
              <w:t xml:space="preserve">Low</w:t>
            </w:r>
          </w:p>
        </w:tc>
        <w:tc>
          <w:tcPr>
            <w:tcW w:type="dxa" w:w="960"/>
            <w:tcBorders>
              <w:top w:val="single" w:color="D1D5DB" w:sz="1"/>
              <w:left w:val="single" w:color="D1D5DB" w:sz="1"/>
              <w:bottom w:val="single" w:color="D1D5DB" w:sz="1"/>
              <w:right w:val="single" w:color="D1D5DB" w:sz="1"/>
            </w:tcBorders>
            <w:shd w:fill="FAFB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Compens.</w:t>
            </w:r>
          </w:p>
        </w:tc>
        <w:tc>
          <w:tcPr>
            <w:tcW w:type="dxa" w:w="720"/>
            <w:tcBorders>
              <w:top w:val="single" w:color="D1D5DB" w:sz="1"/>
              <w:left w:val="single" w:color="D1D5DB" w:sz="1"/>
              <w:bottom w:val="single" w:color="D1D5DB" w:sz="1"/>
              <w:right w:val="single" w:color="D1D5DB" w:sz="1"/>
            </w:tcBorders>
            <w:shd w:fill="FAFB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Variable</w:t>
            </w:r>
          </w:p>
        </w:tc>
        <w:tc>
          <w:tcPr>
            <w:tcW w:type="dxa" w:w="720"/>
            <w:tcBorders>
              <w:top w:val="single" w:color="D1D5DB" w:sz="1"/>
              <w:left w:val="single" w:color="D1D5DB" w:sz="1"/>
              <w:bottom w:val="single" w:color="D1D5DB" w:sz="1"/>
              <w:right w:val="single" w:color="D1D5DB" w:sz="1"/>
            </w:tcBorders>
            <w:shd w:fill="FAFB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Partial</w:t>
            </w:r>
          </w:p>
        </w:tc>
        <w:tc>
          <w:tcPr>
            <w:tcW w:type="dxa" w:w="740"/>
            <w:tcBorders>
              <w:top w:val="single" w:color="D1D5DB" w:sz="1"/>
              <w:left w:val="single" w:color="D1D5DB" w:sz="1"/>
              <w:bottom w:val="single" w:color="D1D5DB" w:sz="1"/>
              <w:right w:val="single" w:color="D1D5DB" w:sz="1"/>
            </w:tcBorders>
            <w:shd w:fill="FAFB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N/A</w:t>
            </w:r>
          </w:p>
        </w:tc>
      </w:tr>
      <w:tr>
        <w:tc>
          <w:tcPr>
            <w:tcW w:type="dxa" w:w="840"/>
            <w:tcBorders>
              <w:top w:val="single" w:color="D1D5DB" w:sz="1"/>
              <w:left w:val="single" w:color="D1D5DB" w:sz="1"/>
              <w:bottom w:val="single" w:color="D1D5DB" w:sz="1"/>
              <w:right w:val="single" w:color="D1D5DB" w:sz="1"/>
            </w:tcBorders>
            <w:shd w:fill="E0EAFF" w:val="clear"/>
            <w:tcMar>
              <w:top w:type="dxa" w:w="80"/>
              <w:left w:type="dxa" w:w="120"/>
              <w:bottom w:type="dxa" w:w="80"/>
              <w:right w:type="dxa" w:w="120"/>
            </w:tcMar>
          </w:tcPr>
          <w:p>
            <w:pPr>
              <w:spacing w:after="40" w:before="40"/>
            </w:pPr>
            <w:r>
              <w:rPr>
                <w:rFonts w:ascii="Arial" w:cs="Arial" w:eastAsia="Arial" w:hAnsi="Arial"/>
                <w:b/>
                <w:bCs/>
                <w:color w:val="111827"/>
                <w:sz w:val="19"/>
                <w:szCs w:val="19"/>
              </w:rPr>
              <w:t xml:space="preserve">HEDGE-03</w:t>
            </w:r>
          </w:p>
        </w:tc>
        <w:tc>
          <w:tcPr>
            <w:tcW w:type="dxa" w:w="252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Dynamic Adjustable Hedge</w:t>
            </w:r>
          </w:p>
        </w:tc>
        <w:tc>
          <w:tcPr>
            <w:tcW w:type="dxa" w:w="96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Hedging</w:t>
            </w:r>
          </w:p>
        </w:tc>
        <w:tc>
          <w:tcPr>
            <w:tcW w:type="dxa" w:w="90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Variable</w:t>
            </w:r>
          </w:p>
        </w:tc>
        <w:tc>
          <w:tcPr>
            <w:tcW w:type="dxa" w:w="96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Compens.</w:t>
            </w:r>
          </w:p>
        </w:tc>
        <w:tc>
          <w:tcPr>
            <w:tcW w:type="dxa" w:w="72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$500</w:t>
            </w:r>
          </w:p>
        </w:tc>
        <w:tc>
          <w:tcPr>
            <w:tcW w:type="dxa" w:w="72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Partial</w:t>
            </w:r>
          </w:p>
        </w:tc>
        <w:tc>
          <w:tcPr>
            <w:tcW w:type="dxa" w:w="74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N/A</w:t>
            </w:r>
          </w:p>
        </w:tc>
      </w:tr>
      <w:tr>
        <w:tc>
          <w:tcPr>
            <w:tcW w:type="dxa" w:w="840"/>
            <w:tcBorders>
              <w:top w:val="single" w:color="D1D5DB" w:sz="1"/>
              <w:left w:val="single" w:color="D1D5DB" w:sz="1"/>
              <w:bottom w:val="single" w:color="D1D5DB" w:sz="1"/>
              <w:right w:val="single" w:color="D1D5DB" w:sz="1"/>
            </w:tcBorders>
            <w:shd w:fill="E0EAFF" w:val="clear"/>
            <w:tcMar>
              <w:top w:type="dxa" w:w="80"/>
              <w:left w:type="dxa" w:w="120"/>
              <w:bottom w:type="dxa" w:w="80"/>
              <w:right w:type="dxa" w:w="120"/>
            </w:tcMar>
          </w:tcPr>
          <w:p>
            <w:pPr>
              <w:spacing w:after="40" w:before="40"/>
            </w:pPr>
            <w:r>
              <w:rPr>
                <w:rFonts w:ascii="Arial" w:cs="Arial" w:eastAsia="Arial" w:hAnsi="Arial"/>
                <w:b/>
                <w:bCs/>
                <w:color w:val="111827"/>
                <w:sz w:val="19"/>
                <w:szCs w:val="19"/>
              </w:rPr>
              <w:t xml:space="preserve">IA-01</w:t>
            </w:r>
          </w:p>
        </w:tc>
        <w:tc>
          <w:tcPr>
            <w:tcW w:type="dxa" w:w="2520"/>
            <w:tcBorders>
              <w:top w:val="single" w:color="D1D5DB" w:sz="1"/>
              <w:left w:val="single" w:color="D1D5DB" w:sz="1"/>
              <w:bottom w:val="single" w:color="D1D5DB" w:sz="1"/>
              <w:right w:val="single" w:color="D1D5DB" w:sz="1"/>
            </w:tcBorders>
            <w:shd w:fill="FAFB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Automated News Front-Running</w:t>
            </w:r>
          </w:p>
        </w:tc>
        <w:tc>
          <w:tcPr>
            <w:tcW w:type="dxa" w:w="960"/>
            <w:tcBorders>
              <w:top w:val="single" w:color="D1D5DB" w:sz="1"/>
              <w:left w:val="single" w:color="D1D5DB" w:sz="1"/>
              <w:bottom w:val="single" w:color="D1D5DB" w:sz="1"/>
              <w:right w:val="single" w:color="D1D5DB" w:sz="1"/>
            </w:tcBorders>
            <w:shd w:fill="FAFB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AI/Auto</w:t>
            </w:r>
          </w:p>
        </w:tc>
        <w:tc>
          <w:tcPr>
            <w:tcW w:type="dxa" w:w="900"/>
            <w:tcBorders>
              <w:top w:val="single" w:color="D1D5DB" w:sz="1"/>
              <w:left w:val="single" w:color="D1D5DB" w:sz="1"/>
              <w:bottom w:val="single" w:color="D1D5DB" w:sz="1"/>
              <w:right w:val="single" w:color="D1D5DB" w:sz="1"/>
            </w:tcBorders>
            <w:shd w:fill="FAFB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Moderate</w:t>
            </w:r>
          </w:p>
        </w:tc>
        <w:tc>
          <w:tcPr>
            <w:tcW w:type="dxa" w:w="960"/>
            <w:tcBorders>
              <w:top w:val="single" w:color="D1D5DB" w:sz="1"/>
              <w:left w:val="single" w:color="D1D5DB" w:sz="1"/>
              <w:bottom w:val="single" w:color="D1D5DB" w:sz="1"/>
              <w:right w:val="single" w:color="D1D5DB" w:sz="1"/>
            </w:tcBorders>
            <w:shd w:fill="FAFB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Variable</w:t>
            </w:r>
          </w:p>
        </w:tc>
        <w:tc>
          <w:tcPr>
            <w:tcW w:type="dxa" w:w="720"/>
            <w:tcBorders>
              <w:top w:val="single" w:color="D1D5DB" w:sz="1"/>
              <w:left w:val="single" w:color="D1D5DB" w:sz="1"/>
              <w:bottom w:val="single" w:color="D1D5DB" w:sz="1"/>
              <w:right w:val="single" w:color="D1D5DB" w:sz="1"/>
            </w:tcBorders>
            <w:shd w:fill="FAFB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$1,000</w:t>
            </w:r>
          </w:p>
        </w:tc>
        <w:tc>
          <w:tcPr>
            <w:tcW w:type="dxa" w:w="720"/>
            <w:tcBorders>
              <w:top w:val="single" w:color="D1D5DB" w:sz="1"/>
              <w:left w:val="single" w:color="D1D5DB" w:sz="1"/>
              <w:bottom w:val="single" w:color="D1D5DB" w:sz="1"/>
              <w:right w:val="single" w:color="D1D5DB" w:sz="1"/>
            </w:tcBorders>
            <w:shd w:fill="FAFB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Full</w:t>
            </w:r>
          </w:p>
        </w:tc>
        <w:tc>
          <w:tcPr>
            <w:tcW w:type="dxa" w:w="740"/>
            <w:tcBorders>
              <w:top w:val="single" w:color="D1D5DB" w:sz="1"/>
              <w:left w:val="single" w:color="D1D5DB" w:sz="1"/>
              <w:bottom w:val="single" w:color="D1D5DB" w:sz="1"/>
              <w:right w:val="single" w:color="D1D5DB" w:sz="1"/>
            </w:tcBorders>
            <w:shd w:fill="FAFB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Variable</w:t>
            </w:r>
          </w:p>
        </w:tc>
      </w:tr>
      <w:tr>
        <w:tc>
          <w:tcPr>
            <w:tcW w:type="dxa" w:w="840"/>
            <w:tcBorders>
              <w:top w:val="single" w:color="D1D5DB" w:sz="1"/>
              <w:left w:val="single" w:color="D1D5DB" w:sz="1"/>
              <w:bottom w:val="single" w:color="D1D5DB" w:sz="1"/>
              <w:right w:val="single" w:color="D1D5DB" w:sz="1"/>
            </w:tcBorders>
            <w:shd w:fill="E0EAFF" w:val="clear"/>
            <w:tcMar>
              <w:top w:type="dxa" w:w="80"/>
              <w:left w:type="dxa" w:w="120"/>
              <w:bottom w:type="dxa" w:w="80"/>
              <w:right w:type="dxa" w:w="120"/>
            </w:tcMar>
          </w:tcPr>
          <w:p>
            <w:pPr>
              <w:spacing w:after="40" w:before="40"/>
            </w:pPr>
            <w:r>
              <w:rPr>
                <w:rFonts w:ascii="Arial" w:cs="Arial" w:eastAsia="Arial" w:hAnsi="Arial"/>
                <w:b/>
                <w:bCs/>
                <w:color w:val="111827"/>
                <w:sz w:val="19"/>
                <w:szCs w:val="19"/>
              </w:rPr>
              <w:t xml:space="preserve">IA-02</w:t>
            </w:r>
          </w:p>
        </w:tc>
        <w:tc>
          <w:tcPr>
            <w:tcW w:type="dxa" w:w="252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Whale Copy-Trading Bot</w:t>
            </w:r>
          </w:p>
        </w:tc>
        <w:tc>
          <w:tcPr>
            <w:tcW w:type="dxa" w:w="96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AI/Auto</w:t>
            </w:r>
          </w:p>
        </w:tc>
        <w:tc>
          <w:tcPr>
            <w:tcW w:type="dxa" w:w="90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Moderate</w:t>
            </w:r>
          </w:p>
        </w:tc>
        <w:tc>
          <w:tcPr>
            <w:tcW w:type="dxa" w:w="96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Variable</w:t>
            </w:r>
          </w:p>
        </w:tc>
        <w:tc>
          <w:tcPr>
            <w:tcW w:type="dxa" w:w="72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$500</w:t>
            </w:r>
          </w:p>
        </w:tc>
        <w:tc>
          <w:tcPr>
            <w:tcW w:type="dxa" w:w="72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Full</w:t>
            </w:r>
          </w:p>
        </w:tc>
        <w:tc>
          <w:tcPr>
            <w:tcW w:type="dxa" w:w="74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Variable</w:t>
            </w:r>
          </w:p>
        </w:tc>
      </w:tr>
      <w:tr>
        <w:tc>
          <w:tcPr>
            <w:tcW w:type="dxa" w:w="840"/>
            <w:tcBorders>
              <w:top w:val="single" w:color="D1D5DB" w:sz="1"/>
              <w:left w:val="single" w:color="D1D5DB" w:sz="1"/>
              <w:bottom w:val="single" w:color="D1D5DB" w:sz="1"/>
              <w:right w:val="single" w:color="D1D5DB" w:sz="1"/>
            </w:tcBorders>
            <w:shd w:fill="E0EAFF" w:val="clear"/>
            <w:tcMar>
              <w:top w:type="dxa" w:w="80"/>
              <w:left w:type="dxa" w:w="120"/>
              <w:bottom w:type="dxa" w:w="80"/>
              <w:right w:type="dxa" w:w="120"/>
            </w:tcMar>
          </w:tcPr>
          <w:p>
            <w:pPr>
              <w:spacing w:after="40" w:before="40"/>
            </w:pPr>
            <w:r>
              <w:rPr>
                <w:rFonts w:ascii="Arial" w:cs="Arial" w:eastAsia="Arial" w:hAnsi="Arial"/>
                <w:b/>
                <w:bCs/>
                <w:color w:val="111827"/>
                <w:sz w:val="19"/>
                <w:szCs w:val="19"/>
              </w:rPr>
              <w:t xml:space="preserve">IA-03</w:t>
            </w:r>
          </w:p>
        </w:tc>
        <w:tc>
          <w:tcPr>
            <w:tcW w:type="dxa" w:w="2520"/>
            <w:tcBorders>
              <w:top w:val="single" w:color="D1D5DB" w:sz="1"/>
              <w:left w:val="single" w:color="D1D5DB" w:sz="1"/>
              <w:bottom w:val="single" w:color="D1D5DB" w:sz="1"/>
              <w:right w:val="single" w:color="D1D5DB" w:sz="1"/>
            </w:tcBorders>
            <w:shd w:fill="FAFB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Fair Value Probability Model</w:t>
            </w:r>
          </w:p>
        </w:tc>
        <w:tc>
          <w:tcPr>
            <w:tcW w:type="dxa" w:w="960"/>
            <w:tcBorders>
              <w:top w:val="single" w:color="D1D5DB" w:sz="1"/>
              <w:left w:val="single" w:color="D1D5DB" w:sz="1"/>
              <w:bottom w:val="single" w:color="D1D5DB" w:sz="1"/>
              <w:right w:val="single" w:color="D1D5DB" w:sz="1"/>
            </w:tcBorders>
            <w:shd w:fill="FAFB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AI/Auto</w:t>
            </w:r>
          </w:p>
        </w:tc>
        <w:tc>
          <w:tcPr>
            <w:tcW w:type="dxa" w:w="900"/>
            <w:tcBorders>
              <w:top w:val="single" w:color="D1D5DB" w:sz="1"/>
              <w:left w:val="single" w:color="D1D5DB" w:sz="1"/>
              <w:bottom w:val="single" w:color="D1D5DB" w:sz="1"/>
              <w:right w:val="single" w:color="D1D5DB" w:sz="1"/>
            </w:tcBorders>
            <w:shd w:fill="FAFB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Moderate</w:t>
            </w:r>
          </w:p>
        </w:tc>
        <w:tc>
          <w:tcPr>
            <w:tcW w:type="dxa" w:w="960"/>
            <w:tcBorders>
              <w:top w:val="single" w:color="D1D5DB" w:sz="1"/>
              <w:left w:val="single" w:color="D1D5DB" w:sz="1"/>
              <w:bottom w:val="single" w:color="D1D5DB" w:sz="1"/>
              <w:right w:val="single" w:color="D1D5DB" w:sz="1"/>
            </w:tcBorders>
            <w:shd w:fill="FAFB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Variable</w:t>
            </w:r>
          </w:p>
        </w:tc>
        <w:tc>
          <w:tcPr>
            <w:tcW w:type="dxa" w:w="720"/>
            <w:tcBorders>
              <w:top w:val="single" w:color="D1D5DB" w:sz="1"/>
              <w:left w:val="single" w:color="D1D5DB" w:sz="1"/>
              <w:bottom w:val="single" w:color="D1D5DB" w:sz="1"/>
              <w:right w:val="single" w:color="D1D5DB" w:sz="1"/>
            </w:tcBorders>
            <w:shd w:fill="FAFB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$500</w:t>
            </w:r>
          </w:p>
        </w:tc>
        <w:tc>
          <w:tcPr>
            <w:tcW w:type="dxa" w:w="720"/>
            <w:tcBorders>
              <w:top w:val="single" w:color="D1D5DB" w:sz="1"/>
              <w:left w:val="single" w:color="D1D5DB" w:sz="1"/>
              <w:bottom w:val="single" w:color="D1D5DB" w:sz="1"/>
              <w:right w:val="single" w:color="D1D5DB" w:sz="1"/>
            </w:tcBorders>
            <w:shd w:fill="FAFB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Full</w:t>
            </w:r>
          </w:p>
        </w:tc>
        <w:tc>
          <w:tcPr>
            <w:tcW w:type="dxa" w:w="740"/>
            <w:tcBorders>
              <w:top w:val="single" w:color="D1D5DB" w:sz="1"/>
              <w:left w:val="single" w:color="D1D5DB" w:sz="1"/>
              <w:bottom w:val="single" w:color="D1D5DB" w:sz="1"/>
              <w:right w:val="single" w:color="D1D5DB" w:sz="1"/>
            </w:tcBorders>
            <w:shd w:fill="FAFB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Variable</w:t>
            </w:r>
          </w:p>
        </w:tc>
      </w:tr>
      <w:tr>
        <w:tc>
          <w:tcPr>
            <w:tcW w:type="dxa" w:w="840"/>
            <w:tcBorders>
              <w:top w:val="single" w:color="D1D5DB" w:sz="1"/>
              <w:left w:val="single" w:color="D1D5DB" w:sz="1"/>
              <w:bottom w:val="single" w:color="D1D5DB" w:sz="1"/>
              <w:right w:val="single" w:color="D1D5DB" w:sz="1"/>
            </w:tcBorders>
            <w:shd w:fill="E0EAFF" w:val="clear"/>
            <w:tcMar>
              <w:top w:type="dxa" w:w="80"/>
              <w:left w:type="dxa" w:w="120"/>
              <w:bottom w:type="dxa" w:w="80"/>
              <w:right w:type="dxa" w:w="120"/>
            </w:tcMar>
          </w:tcPr>
          <w:p>
            <w:pPr>
              <w:spacing w:after="40" w:before="40"/>
            </w:pPr>
            <w:r>
              <w:rPr>
                <w:rFonts w:ascii="Arial" w:cs="Arial" w:eastAsia="Arial" w:hAnsi="Arial"/>
                <w:b/>
                <w:bCs/>
                <w:color w:val="111827"/>
                <w:sz w:val="19"/>
                <w:szCs w:val="19"/>
              </w:rPr>
              <w:t xml:space="preserve">IA-04</w:t>
            </w:r>
          </w:p>
        </w:tc>
        <w:tc>
          <w:tcPr>
            <w:tcW w:type="dxa" w:w="252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Arbitrage Bot Types 1-3</w:t>
            </w:r>
          </w:p>
        </w:tc>
        <w:tc>
          <w:tcPr>
            <w:tcW w:type="dxa" w:w="96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AI/Auto</w:t>
            </w:r>
          </w:p>
        </w:tc>
        <w:tc>
          <w:tcPr>
            <w:tcW w:type="dxa" w:w="90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tcPr>
          <w:p>
            <w:pPr>
              <w:spacing w:after="40" w:before="40"/>
            </w:pPr>
            <w:r>
              <w:rPr>
                <w:rFonts w:ascii="Arial" w:cs="Arial" w:eastAsia="Arial" w:hAnsi="Arial"/>
                <w:b/>
                <w:bCs/>
                <w:color w:val="065F46"/>
                <w:sz w:val="19"/>
                <w:szCs w:val="19"/>
              </w:rPr>
              <w:t xml:space="preserve">Low</w:t>
            </w:r>
          </w:p>
        </w:tc>
        <w:tc>
          <w:tcPr>
            <w:tcW w:type="dxa" w:w="96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60–87%</w:t>
            </w:r>
          </w:p>
        </w:tc>
        <w:tc>
          <w:tcPr>
            <w:tcW w:type="dxa" w:w="72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$1,000</w:t>
            </w:r>
          </w:p>
        </w:tc>
        <w:tc>
          <w:tcPr>
            <w:tcW w:type="dxa" w:w="72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Full</w:t>
            </w:r>
          </w:p>
        </w:tc>
        <w:tc>
          <w:tcPr>
            <w:tcW w:type="dxa" w:w="74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60–87%</w:t>
            </w:r>
          </w:p>
        </w:tc>
      </w:tr>
      <w:tr>
        <w:tc>
          <w:tcPr>
            <w:tcW w:type="dxa" w:w="840"/>
            <w:tcBorders>
              <w:top w:val="single" w:color="D1D5DB" w:sz="1"/>
              <w:left w:val="single" w:color="D1D5DB" w:sz="1"/>
              <w:bottom w:val="single" w:color="D1D5DB" w:sz="1"/>
              <w:right w:val="single" w:color="D1D5DB" w:sz="1"/>
            </w:tcBorders>
            <w:shd w:fill="E0EAFF" w:val="clear"/>
            <w:tcMar>
              <w:top w:type="dxa" w:w="80"/>
              <w:left w:type="dxa" w:w="120"/>
              <w:bottom w:type="dxa" w:w="80"/>
              <w:right w:type="dxa" w:w="120"/>
            </w:tcMar>
          </w:tcPr>
          <w:p>
            <w:pPr>
              <w:spacing w:after="40" w:before="40"/>
            </w:pPr>
            <w:r>
              <w:rPr>
                <w:rFonts w:ascii="Arial" w:cs="Arial" w:eastAsia="Arial" w:hAnsi="Arial"/>
                <w:b/>
                <w:bCs/>
                <w:color w:val="111827"/>
                <w:sz w:val="19"/>
                <w:szCs w:val="19"/>
              </w:rPr>
              <w:t xml:space="preserve">IA-05</w:t>
            </w:r>
          </w:p>
        </w:tc>
        <w:tc>
          <w:tcPr>
            <w:tcW w:type="dxa" w:w="2520"/>
            <w:tcBorders>
              <w:top w:val="single" w:color="D1D5DB" w:sz="1"/>
              <w:left w:val="single" w:color="D1D5DB" w:sz="1"/>
              <w:bottom w:val="single" w:color="D1D5DB" w:sz="1"/>
              <w:right w:val="single" w:color="D1D5DB" w:sz="1"/>
            </w:tcBorders>
            <w:shd w:fill="FAFB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LLM + IP Solver Cross-Market</w:t>
            </w:r>
          </w:p>
        </w:tc>
        <w:tc>
          <w:tcPr>
            <w:tcW w:type="dxa" w:w="960"/>
            <w:tcBorders>
              <w:top w:val="single" w:color="D1D5DB" w:sz="1"/>
              <w:left w:val="single" w:color="D1D5DB" w:sz="1"/>
              <w:bottom w:val="single" w:color="D1D5DB" w:sz="1"/>
              <w:right w:val="single" w:color="D1D5DB" w:sz="1"/>
            </w:tcBorders>
            <w:shd w:fill="FAFB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AI/Auto</w:t>
            </w:r>
          </w:p>
        </w:tc>
        <w:tc>
          <w:tcPr>
            <w:tcW w:type="dxa" w:w="9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pPr>
              <w:spacing w:after="40" w:before="40"/>
            </w:pPr>
            <w:r>
              <w:rPr>
                <w:rFonts w:ascii="Arial" w:cs="Arial" w:eastAsia="Arial" w:hAnsi="Arial"/>
                <w:b/>
                <w:bCs/>
                <w:color w:val="991B1B"/>
                <w:sz w:val="19"/>
                <w:szCs w:val="19"/>
              </w:rPr>
              <w:t xml:space="preserve">High</w:t>
            </w:r>
          </w:p>
        </w:tc>
        <w:tc>
          <w:tcPr>
            <w:tcW w:type="dxa" w:w="960"/>
            <w:tcBorders>
              <w:top w:val="single" w:color="D1D5DB" w:sz="1"/>
              <w:left w:val="single" w:color="D1D5DB" w:sz="1"/>
              <w:bottom w:val="single" w:color="D1D5DB" w:sz="1"/>
              <w:right w:val="single" w:color="D1D5DB" w:sz="1"/>
            </w:tcBorders>
            <w:shd w:fill="FAFB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5–15%</w:t>
            </w:r>
          </w:p>
        </w:tc>
        <w:tc>
          <w:tcPr>
            <w:tcW w:type="dxa" w:w="720"/>
            <w:tcBorders>
              <w:top w:val="single" w:color="D1D5DB" w:sz="1"/>
              <w:left w:val="single" w:color="D1D5DB" w:sz="1"/>
              <w:bottom w:val="single" w:color="D1D5DB" w:sz="1"/>
              <w:right w:val="single" w:color="D1D5DB" w:sz="1"/>
            </w:tcBorders>
            <w:shd w:fill="FAFB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$500k</w:t>
            </w:r>
          </w:p>
        </w:tc>
        <w:tc>
          <w:tcPr>
            <w:tcW w:type="dxa" w:w="720"/>
            <w:tcBorders>
              <w:top w:val="single" w:color="D1D5DB" w:sz="1"/>
              <w:left w:val="single" w:color="D1D5DB" w:sz="1"/>
              <w:bottom w:val="single" w:color="D1D5DB" w:sz="1"/>
              <w:right w:val="single" w:color="D1D5DB" w:sz="1"/>
            </w:tcBorders>
            <w:shd w:fill="FAFB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Full</w:t>
            </w:r>
          </w:p>
        </w:tc>
        <w:tc>
          <w:tcPr>
            <w:tcW w:type="dxa" w:w="740"/>
            <w:tcBorders>
              <w:top w:val="single" w:color="D1D5DB" w:sz="1"/>
              <w:left w:val="single" w:color="D1D5DB" w:sz="1"/>
              <w:bottom w:val="single" w:color="D1D5DB" w:sz="1"/>
              <w:right w:val="single" w:color="D1D5DB" w:sz="1"/>
            </w:tcBorders>
            <w:shd w:fill="FAFB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45%</w:t>
            </w:r>
          </w:p>
        </w:tc>
      </w:tr>
      <w:tr>
        <w:tc>
          <w:tcPr>
            <w:tcW w:type="dxa" w:w="840"/>
            <w:tcBorders>
              <w:top w:val="single" w:color="D1D5DB" w:sz="1"/>
              <w:left w:val="single" w:color="D1D5DB" w:sz="1"/>
              <w:bottom w:val="single" w:color="D1D5DB" w:sz="1"/>
              <w:right w:val="single" w:color="D1D5DB" w:sz="1"/>
            </w:tcBorders>
            <w:shd w:fill="E0EAFF" w:val="clear"/>
            <w:tcMar>
              <w:top w:type="dxa" w:w="80"/>
              <w:left w:type="dxa" w:w="120"/>
              <w:bottom w:type="dxa" w:w="80"/>
              <w:right w:type="dxa" w:w="120"/>
            </w:tcMar>
          </w:tcPr>
          <w:p>
            <w:pPr>
              <w:spacing w:after="40" w:before="40"/>
            </w:pPr>
            <w:r>
              <w:rPr>
                <w:rFonts w:ascii="Arial" w:cs="Arial" w:eastAsia="Arial" w:hAnsi="Arial"/>
                <w:b/>
                <w:bCs/>
                <w:color w:val="111827"/>
                <w:sz w:val="19"/>
                <w:szCs w:val="19"/>
              </w:rPr>
              <w:t xml:space="preserve">IA-06</w:t>
            </w:r>
          </w:p>
        </w:tc>
        <w:tc>
          <w:tcPr>
            <w:tcW w:type="dxa" w:w="252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Bregman + Frank-Wolfe Optimizer</w:t>
            </w:r>
          </w:p>
        </w:tc>
        <w:tc>
          <w:tcPr>
            <w:tcW w:type="dxa" w:w="96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AI/Auto</w:t>
            </w:r>
          </w:p>
        </w:tc>
        <w:tc>
          <w:tcPr>
            <w:tcW w:type="dxa" w:w="90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tcPr>
          <w:p>
            <w:pPr>
              <w:spacing w:after="40" w:before="40"/>
            </w:pPr>
            <w:r>
              <w:rPr>
                <w:rFonts w:ascii="Arial" w:cs="Arial" w:eastAsia="Arial" w:hAnsi="Arial"/>
                <w:b/>
                <w:bCs/>
                <w:color w:val="065F46"/>
                <w:sz w:val="19"/>
                <w:szCs w:val="19"/>
              </w:rPr>
              <w:t xml:space="preserve">Low</w:t>
            </w:r>
          </w:p>
        </w:tc>
        <w:tc>
          <w:tcPr>
            <w:tcW w:type="dxa" w:w="96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Improves</w:t>
            </w:r>
          </w:p>
        </w:tc>
        <w:tc>
          <w:tcPr>
            <w:tcW w:type="dxa" w:w="72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Any</w:t>
            </w:r>
          </w:p>
        </w:tc>
        <w:tc>
          <w:tcPr>
            <w:tcW w:type="dxa" w:w="72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Full</w:t>
            </w:r>
          </w:p>
        </w:tc>
        <w:tc>
          <w:tcPr>
            <w:tcW w:type="dxa" w:w="74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N/A</w:t>
            </w:r>
          </w:p>
        </w:tc>
      </w:tr>
      <w:tr>
        <w:tc>
          <w:tcPr>
            <w:tcW w:type="dxa" w:w="840"/>
            <w:tcBorders>
              <w:top w:val="single" w:color="D1D5DB" w:sz="1"/>
              <w:left w:val="single" w:color="D1D5DB" w:sz="1"/>
              <w:bottom w:val="single" w:color="D1D5DB" w:sz="1"/>
              <w:right w:val="single" w:color="D1D5DB" w:sz="1"/>
            </w:tcBorders>
            <w:shd w:fill="E0EAFF" w:val="clear"/>
            <w:tcMar>
              <w:top w:type="dxa" w:w="80"/>
              <w:left w:type="dxa" w:w="120"/>
              <w:bottom w:type="dxa" w:w="80"/>
              <w:right w:type="dxa" w:w="120"/>
            </w:tcMar>
          </w:tcPr>
          <w:p>
            <w:pPr>
              <w:spacing w:after="40" w:before="40"/>
            </w:pPr>
            <w:r>
              <w:rPr>
                <w:rFonts w:ascii="Arial" w:cs="Arial" w:eastAsia="Arial" w:hAnsi="Arial"/>
                <w:b/>
                <w:bCs/>
                <w:color w:val="111827"/>
                <w:sz w:val="19"/>
                <w:szCs w:val="19"/>
              </w:rPr>
              <w:t xml:space="preserve">HYB-01</w:t>
            </w:r>
          </w:p>
        </w:tc>
        <w:tc>
          <w:tcPr>
            <w:tcW w:type="dxa" w:w="2520"/>
            <w:tcBorders>
              <w:top w:val="single" w:color="D1D5DB" w:sz="1"/>
              <w:left w:val="single" w:color="D1D5DB" w:sz="1"/>
              <w:bottom w:val="single" w:color="D1D5DB" w:sz="1"/>
              <w:right w:val="single" w:color="D1D5DB" w:sz="1"/>
            </w:tcBorders>
            <w:shd w:fill="FAFB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Minting + LP Rewards Sweet Spot</w:t>
            </w:r>
          </w:p>
        </w:tc>
        <w:tc>
          <w:tcPr>
            <w:tcW w:type="dxa" w:w="960"/>
            <w:tcBorders>
              <w:top w:val="single" w:color="D1D5DB" w:sz="1"/>
              <w:left w:val="single" w:color="D1D5DB" w:sz="1"/>
              <w:bottom w:val="single" w:color="D1D5DB" w:sz="1"/>
              <w:right w:val="single" w:color="D1D5DB" w:sz="1"/>
            </w:tcBorders>
            <w:shd w:fill="FAFB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Hybrid</w:t>
            </w:r>
          </w:p>
        </w:tc>
        <w:tc>
          <w:tcPr>
            <w:tcW w:type="dxa" w:w="90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tcPr>
          <w:p>
            <w:pPr>
              <w:spacing w:after="40" w:before="40"/>
            </w:pPr>
            <w:r>
              <w:rPr>
                <w:rFonts w:ascii="Arial" w:cs="Arial" w:eastAsia="Arial" w:hAnsi="Arial"/>
                <w:b/>
                <w:bCs/>
                <w:color w:val="065F46"/>
                <w:sz w:val="19"/>
                <w:szCs w:val="19"/>
              </w:rPr>
              <w:t xml:space="preserve">Low</w:t>
            </w:r>
          </w:p>
        </w:tc>
        <w:tc>
          <w:tcPr>
            <w:tcW w:type="dxa" w:w="960"/>
            <w:tcBorders>
              <w:top w:val="single" w:color="D1D5DB" w:sz="1"/>
              <w:left w:val="single" w:color="D1D5DB" w:sz="1"/>
              <w:bottom w:val="single" w:color="D1D5DB" w:sz="1"/>
              <w:right w:val="single" w:color="D1D5DB" w:sz="1"/>
            </w:tcBorders>
            <w:shd w:fill="FAFB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APY ~26-28%</w:t>
            </w:r>
          </w:p>
        </w:tc>
        <w:tc>
          <w:tcPr>
            <w:tcW w:type="dxa" w:w="720"/>
            <w:tcBorders>
              <w:top w:val="single" w:color="D1D5DB" w:sz="1"/>
              <w:left w:val="single" w:color="D1D5DB" w:sz="1"/>
              <w:bottom w:val="single" w:color="D1D5DB" w:sz="1"/>
              <w:right w:val="single" w:color="D1D5DB" w:sz="1"/>
            </w:tcBorders>
            <w:shd w:fill="FAFB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$500</w:t>
            </w:r>
          </w:p>
        </w:tc>
        <w:tc>
          <w:tcPr>
            <w:tcW w:type="dxa" w:w="720"/>
            <w:tcBorders>
              <w:top w:val="single" w:color="D1D5DB" w:sz="1"/>
              <w:left w:val="single" w:color="D1D5DB" w:sz="1"/>
              <w:bottom w:val="single" w:color="D1D5DB" w:sz="1"/>
              <w:right w:val="single" w:color="D1D5DB" w:sz="1"/>
            </w:tcBorders>
            <w:shd w:fill="FAFB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Full</w:t>
            </w:r>
          </w:p>
        </w:tc>
        <w:tc>
          <w:tcPr>
            <w:tcW w:type="dxa" w:w="740"/>
            <w:tcBorders>
              <w:top w:val="single" w:color="D1D5DB" w:sz="1"/>
              <w:left w:val="single" w:color="D1D5DB" w:sz="1"/>
              <w:bottom w:val="single" w:color="D1D5DB" w:sz="1"/>
              <w:right w:val="single" w:color="D1D5DB" w:sz="1"/>
            </w:tcBorders>
            <w:shd w:fill="FAFB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High</w:t>
            </w:r>
          </w:p>
        </w:tc>
      </w:tr>
      <w:tr>
        <w:tc>
          <w:tcPr>
            <w:tcW w:type="dxa" w:w="840"/>
            <w:tcBorders>
              <w:top w:val="single" w:color="D1D5DB" w:sz="1"/>
              <w:left w:val="single" w:color="D1D5DB" w:sz="1"/>
              <w:bottom w:val="single" w:color="D1D5DB" w:sz="1"/>
              <w:right w:val="single" w:color="D1D5DB" w:sz="1"/>
            </w:tcBorders>
            <w:shd w:fill="E0EAFF" w:val="clear"/>
            <w:tcMar>
              <w:top w:type="dxa" w:w="80"/>
              <w:left w:type="dxa" w:w="120"/>
              <w:bottom w:type="dxa" w:w="80"/>
              <w:right w:type="dxa" w:w="120"/>
            </w:tcMar>
          </w:tcPr>
          <w:p>
            <w:pPr>
              <w:spacing w:after="40" w:before="40"/>
            </w:pPr>
            <w:r>
              <w:rPr>
                <w:rFonts w:ascii="Arial" w:cs="Arial" w:eastAsia="Arial" w:hAnsi="Arial"/>
                <w:b/>
                <w:bCs/>
                <w:color w:val="111827"/>
                <w:sz w:val="19"/>
                <w:szCs w:val="19"/>
              </w:rPr>
              <w:t xml:space="preserve">HYB-02</w:t>
            </w:r>
          </w:p>
        </w:tc>
        <w:tc>
          <w:tcPr>
            <w:tcW w:type="dxa" w:w="252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Arbitrage + Dynamic Hedge</w:t>
            </w:r>
          </w:p>
        </w:tc>
        <w:tc>
          <w:tcPr>
            <w:tcW w:type="dxa" w:w="96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Hybrid</w:t>
            </w:r>
          </w:p>
        </w:tc>
        <w:tc>
          <w:tcPr>
            <w:tcW w:type="dxa" w:w="90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tcPr>
          <w:p>
            <w:pPr>
              <w:spacing w:after="40" w:before="40"/>
            </w:pPr>
            <w:r>
              <w:rPr>
                <w:rFonts w:ascii="Arial" w:cs="Arial" w:eastAsia="Arial" w:hAnsi="Arial"/>
                <w:b/>
                <w:bCs/>
                <w:color w:val="065F46"/>
                <w:sz w:val="19"/>
                <w:szCs w:val="19"/>
              </w:rPr>
              <w:t xml:space="preserve">Very Low</w:t>
            </w:r>
          </w:p>
        </w:tc>
        <w:tc>
          <w:tcPr>
            <w:tcW w:type="dxa" w:w="96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60–87%</w:t>
            </w:r>
          </w:p>
        </w:tc>
        <w:tc>
          <w:tcPr>
            <w:tcW w:type="dxa" w:w="72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$10,000</w:t>
            </w:r>
          </w:p>
        </w:tc>
        <w:tc>
          <w:tcPr>
            <w:tcW w:type="dxa" w:w="72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Partial</w:t>
            </w:r>
          </w:p>
        </w:tc>
        <w:tc>
          <w:tcPr>
            <w:tcW w:type="dxa" w:w="74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High</w:t>
            </w:r>
          </w:p>
        </w:tc>
      </w:tr>
      <w:tr>
        <w:tc>
          <w:tcPr>
            <w:tcW w:type="dxa" w:w="840"/>
            <w:tcBorders>
              <w:top w:val="single" w:color="D1D5DB" w:sz="1"/>
              <w:left w:val="single" w:color="D1D5DB" w:sz="1"/>
              <w:bottom w:val="single" w:color="D1D5DB" w:sz="1"/>
              <w:right w:val="single" w:color="D1D5DB" w:sz="1"/>
            </w:tcBorders>
            <w:shd w:fill="E0EAFF" w:val="clear"/>
            <w:tcMar>
              <w:top w:type="dxa" w:w="80"/>
              <w:left w:type="dxa" w:w="120"/>
              <w:bottom w:type="dxa" w:w="80"/>
              <w:right w:type="dxa" w:w="120"/>
            </w:tcMar>
          </w:tcPr>
          <w:p>
            <w:pPr>
              <w:spacing w:after="40" w:before="40"/>
            </w:pPr>
            <w:r>
              <w:rPr>
                <w:rFonts w:ascii="Arial" w:cs="Arial" w:eastAsia="Arial" w:hAnsi="Arial"/>
                <w:b/>
                <w:bCs/>
                <w:color w:val="111827"/>
                <w:sz w:val="19"/>
                <w:szCs w:val="19"/>
              </w:rPr>
              <w:t xml:space="preserve">HYB-03</w:t>
            </w:r>
          </w:p>
        </w:tc>
        <w:tc>
          <w:tcPr>
            <w:tcW w:type="dxa" w:w="2520"/>
            <w:tcBorders>
              <w:top w:val="single" w:color="D1D5DB" w:sz="1"/>
              <w:left w:val="single" w:color="D1D5DB" w:sz="1"/>
              <w:bottom w:val="single" w:color="D1D5DB" w:sz="1"/>
              <w:right w:val="single" w:color="D1D5DB" w:sz="1"/>
            </w:tcBorders>
            <w:shd w:fill="FAFB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Fair Value + Momentum Double</w:t>
            </w:r>
          </w:p>
        </w:tc>
        <w:tc>
          <w:tcPr>
            <w:tcW w:type="dxa" w:w="960"/>
            <w:tcBorders>
              <w:top w:val="single" w:color="D1D5DB" w:sz="1"/>
              <w:left w:val="single" w:color="D1D5DB" w:sz="1"/>
              <w:bottom w:val="single" w:color="D1D5DB" w:sz="1"/>
              <w:right w:val="single" w:color="D1D5DB" w:sz="1"/>
            </w:tcBorders>
            <w:shd w:fill="FAFB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Hybrid</w:t>
            </w:r>
          </w:p>
        </w:tc>
        <w:tc>
          <w:tcPr>
            <w:tcW w:type="dxa" w:w="900"/>
            <w:tcBorders>
              <w:top w:val="single" w:color="D1D5DB" w:sz="1"/>
              <w:left w:val="single" w:color="D1D5DB" w:sz="1"/>
              <w:bottom w:val="single" w:color="D1D5DB" w:sz="1"/>
              <w:right w:val="single" w:color="D1D5DB" w:sz="1"/>
            </w:tcBorders>
            <w:shd w:fill="FAFB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Moderate</w:t>
            </w:r>
          </w:p>
        </w:tc>
        <w:tc>
          <w:tcPr>
            <w:tcW w:type="dxa" w:w="960"/>
            <w:tcBorders>
              <w:top w:val="single" w:color="D1D5DB" w:sz="1"/>
              <w:left w:val="single" w:color="D1D5DB" w:sz="1"/>
              <w:bottom w:val="single" w:color="D1D5DB" w:sz="1"/>
              <w:right w:val="single" w:color="D1D5DB" w:sz="1"/>
            </w:tcBorders>
            <w:shd w:fill="FAFB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Variable</w:t>
            </w:r>
          </w:p>
        </w:tc>
        <w:tc>
          <w:tcPr>
            <w:tcW w:type="dxa" w:w="720"/>
            <w:tcBorders>
              <w:top w:val="single" w:color="D1D5DB" w:sz="1"/>
              <w:left w:val="single" w:color="D1D5DB" w:sz="1"/>
              <w:bottom w:val="single" w:color="D1D5DB" w:sz="1"/>
              <w:right w:val="single" w:color="D1D5DB" w:sz="1"/>
            </w:tcBorders>
            <w:shd w:fill="FAFB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$500</w:t>
            </w:r>
          </w:p>
        </w:tc>
        <w:tc>
          <w:tcPr>
            <w:tcW w:type="dxa" w:w="720"/>
            <w:tcBorders>
              <w:top w:val="single" w:color="D1D5DB" w:sz="1"/>
              <w:left w:val="single" w:color="D1D5DB" w:sz="1"/>
              <w:bottom w:val="single" w:color="D1D5DB" w:sz="1"/>
              <w:right w:val="single" w:color="D1D5DB" w:sz="1"/>
            </w:tcBorders>
            <w:shd w:fill="FAFB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Full</w:t>
            </w:r>
          </w:p>
        </w:tc>
        <w:tc>
          <w:tcPr>
            <w:tcW w:type="dxa" w:w="740"/>
            <w:tcBorders>
              <w:top w:val="single" w:color="D1D5DB" w:sz="1"/>
              <w:left w:val="single" w:color="D1D5DB" w:sz="1"/>
              <w:bottom w:val="single" w:color="D1D5DB" w:sz="1"/>
              <w:right w:val="single" w:color="D1D5DB" w:sz="1"/>
            </w:tcBorders>
            <w:shd w:fill="FAFB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Improved</w:t>
            </w:r>
          </w:p>
        </w:tc>
      </w:tr>
      <w:tr>
        <w:tc>
          <w:tcPr>
            <w:tcW w:type="dxa" w:w="840"/>
            <w:tcBorders>
              <w:top w:val="single" w:color="D1D5DB" w:sz="1"/>
              <w:left w:val="single" w:color="D1D5DB" w:sz="1"/>
              <w:bottom w:val="single" w:color="D1D5DB" w:sz="1"/>
              <w:right w:val="single" w:color="D1D5DB" w:sz="1"/>
            </w:tcBorders>
            <w:shd w:fill="E0EAFF" w:val="clear"/>
            <w:tcMar>
              <w:top w:type="dxa" w:w="80"/>
              <w:left w:type="dxa" w:w="120"/>
              <w:bottom w:type="dxa" w:w="80"/>
              <w:right w:type="dxa" w:w="120"/>
            </w:tcMar>
          </w:tcPr>
          <w:p>
            <w:pPr>
              <w:spacing w:after="40" w:before="40"/>
            </w:pPr>
            <w:r>
              <w:rPr>
                <w:rFonts w:ascii="Arial" w:cs="Arial" w:eastAsia="Arial" w:hAnsi="Arial"/>
                <w:b/>
                <w:bCs/>
                <w:color w:val="111827"/>
                <w:sz w:val="19"/>
                <w:szCs w:val="19"/>
              </w:rPr>
              <w:t xml:space="preserve">HYB-04</w:t>
            </w:r>
          </w:p>
        </w:tc>
        <w:tc>
          <w:tcPr>
            <w:tcW w:type="dxa" w:w="252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Copy-Trading + Fair Value Filter</w:t>
            </w:r>
          </w:p>
        </w:tc>
        <w:tc>
          <w:tcPr>
            <w:tcW w:type="dxa" w:w="96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Hybrid</w:t>
            </w:r>
          </w:p>
        </w:tc>
        <w:tc>
          <w:tcPr>
            <w:tcW w:type="dxa" w:w="90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Moderate</w:t>
            </w:r>
          </w:p>
        </w:tc>
        <w:tc>
          <w:tcPr>
            <w:tcW w:type="dxa" w:w="96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Variable</w:t>
            </w:r>
          </w:p>
        </w:tc>
        <w:tc>
          <w:tcPr>
            <w:tcW w:type="dxa" w:w="72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$500</w:t>
            </w:r>
          </w:p>
        </w:tc>
        <w:tc>
          <w:tcPr>
            <w:tcW w:type="dxa" w:w="72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Full</w:t>
            </w:r>
          </w:p>
        </w:tc>
        <w:tc>
          <w:tcPr>
            <w:tcW w:type="dxa" w:w="74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Improved</w:t>
            </w:r>
          </w:p>
        </w:tc>
      </w:tr>
      <w:tr>
        <w:tc>
          <w:tcPr>
            <w:tcW w:type="dxa" w:w="840"/>
            <w:tcBorders>
              <w:top w:val="single" w:color="D1D5DB" w:sz="1"/>
              <w:left w:val="single" w:color="D1D5DB" w:sz="1"/>
              <w:bottom w:val="single" w:color="D1D5DB" w:sz="1"/>
              <w:right w:val="single" w:color="D1D5DB" w:sz="1"/>
            </w:tcBorders>
            <w:shd w:fill="E0EAFF" w:val="clear"/>
            <w:tcMar>
              <w:top w:type="dxa" w:w="80"/>
              <w:left w:type="dxa" w:w="120"/>
              <w:bottom w:type="dxa" w:w="80"/>
              <w:right w:type="dxa" w:w="120"/>
            </w:tcMar>
          </w:tcPr>
          <w:p>
            <w:pPr>
              <w:spacing w:after="40" w:before="40"/>
            </w:pPr>
            <w:r>
              <w:rPr>
                <w:rFonts w:ascii="Arial" w:cs="Arial" w:eastAsia="Arial" w:hAnsi="Arial"/>
                <w:b/>
                <w:bCs/>
                <w:color w:val="111827"/>
                <w:sz w:val="19"/>
                <w:szCs w:val="19"/>
              </w:rPr>
              <w:t xml:space="preserve">HYB-05</w:t>
            </w:r>
          </w:p>
        </w:tc>
        <w:tc>
          <w:tcPr>
            <w:tcW w:type="dxa" w:w="2520"/>
            <w:tcBorders>
              <w:top w:val="single" w:color="D1D5DB" w:sz="1"/>
              <w:left w:val="single" w:color="D1D5DB" w:sz="1"/>
              <w:bottom w:val="single" w:color="D1D5DB" w:sz="1"/>
              <w:right w:val="single" w:color="D1D5DB" w:sz="1"/>
            </w:tcBorders>
            <w:shd w:fill="FAFB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Selective Compounding Reinvestment</w:t>
            </w:r>
          </w:p>
        </w:tc>
        <w:tc>
          <w:tcPr>
            <w:tcW w:type="dxa" w:w="960"/>
            <w:tcBorders>
              <w:top w:val="single" w:color="D1D5DB" w:sz="1"/>
              <w:left w:val="single" w:color="D1D5DB" w:sz="1"/>
              <w:bottom w:val="single" w:color="D1D5DB" w:sz="1"/>
              <w:right w:val="single" w:color="D1D5DB" w:sz="1"/>
            </w:tcBorders>
            <w:shd w:fill="FAFB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Hybrid</w:t>
            </w:r>
          </w:p>
        </w:tc>
        <w:tc>
          <w:tcPr>
            <w:tcW w:type="dxa" w:w="90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tcPr>
          <w:p>
            <w:pPr>
              <w:spacing w:after="40" w:before="40"/>
            </w:pPr>
            <w:r>
              <w:rPr>
                <w:rFonts w:ascii="Arial" w:cs="Arial" w:eastAsia="Arial" w:hAnsi="Arial"/>
                <w:b/>
                <w:bCs/>
                <w:color w:val="065F46"/>
                <w:sz w:val="19"/>
                <w:szCs w:val="19"/>
              </w:rPr>
              <w:t xml:space="preserve">Low</w:t>
            </w:r>
          </w:p>
        </w:tc>
        <w:tc>
          <w:tcPr>
            <w:tcW w:type="dxa" w:w="960"/>
            <w:tcBorders>
              <w:top w:val="single" w:color="D1D5DB" w:sz="1"/>
              <w:left w:val="single" w:color="D1D5DB" w:sz="1"/>
              <w:bottom w:val="single" w:color="D1D5DB" w:sz="1"/>
              <w:right w:val="single" w:color="D1D5DB" w:sz="1"/>
            </w:tcBorders>
            <w:shd w:fill="FAFB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+20-40% gain</w:t>
            </w:r>
          </w:p>
        </w:tc>
        <w:tc>
          <w:tcPr>
            <w:tcW w:type="dxa" w:w="720"/>
            <w:tcBorders>
              <w:top w:val="single" w:color="D1D5DB" w:sz="1"/>
              <w:left w:val="single" w:color="D1D5DB" w:sz="1"/>
              <w:bottom w:val="single" w:color="D1D5DB" w:sz="1"/>
              <w:right w:val="single" w:color="D1D5DB" w:sz="1"/>
            </w:tcBorders>
            <w:shd w:fill="FAFB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$500</w:t>
            </w:r>
          </w:p>
        </w:tc>
        <w:tc>
          <w:tcPr>
            <w:tcW w:type="dxa" w:w="720"/>
            <w:tcBorders>
              <w:top w:val="single" w:color="D1D5DB" w:sz="1"/>
              <w:left w:val="single" w:color="D1D5DB" w:sz="1"/>
              <w:bottom w:val="single" w:color="D1D5DB" w:sz="1"/>
              <w:right w:val="single" w:color="D1D5DB" w:sz="1"/>
            </w:tcBorders>
            <w:shd w:fill="FAFB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Full</w:t>
            </w:r>
          </w:p>
        </w:tc>
        <w:tc>
          <w:tcPr>
            <w:tcW w:type="dxa" w:w="740"/>
            <w:tcBorders>
              <w:top w:val="single" w:color="D1D5DB" w:sz="1"/>
              <w:left w:val="single" w:color="D1D5DB" w:sz="1"/>
              <w:bottom w:val="single" w:color="D1D5DB" w:sz="1"/>
              <w:right w:val="single" w:color="D1D5DB" w:sz="1"/>
            </w:tcBorders>
            <w:shd w:fill="FAFBFF" w:val="clear"/>
            <w:tcMar>
              <w:top w:type="dxa" w:w="80"/>
              <w:left w:type="dxa" w:w="120"/>
              <w:bottom w:type="dxa" w:w="80"/>
              <w:right w:type="dxa" w:w="120"/>
            </w:tcMar>
          </w:tcPr>
          <w:p>
            <w:pPr>
              <w:spacing w:after="40" w:before="40"/>
            </w:pPr>
            <w:r>
              <w:rPr>
                <w:rFonts w:ascii="Arial" w:cs="Arial" w:eastAsia="Arial" w:hAnsi="Arial"/>
                <w:b w:val="false"/>
                <w:bCs w:val="false"/>
                <w:color w:val="374151"/>
                <w:sz w:val="19"/>
                <w:szCs w:val="19"/>
              </w:rPr>
              <w:t xml:space="preserve">High</w:t>
            </w:r>
          </w:p>
        </w:tc>
      </w:tr>
    </w:tbl>
    <w:p>
      <w:pPr>
        <w:shd w:fill="070B12" w:val="clear"/>
        <w:spacing w:after="80" w:before="320"/>
      </w:pPr>
      <w:r>
        <w:rPr>
          <w:rFonts w:ascii="Courier New" w:cs="Courier New" w:eastAsia="Courier New" w:hAnsi="Courier New"/>
          <w:b/>
          <w:bCs/>
          <w:color w:val="7DD3FC"/>
          <w:sz w:val="17"/>
          <w:szCs w:val="17"/>
        </w:rPr>
        <w:t xml:space="preserve">  // 03 · CONCLUSIONS  </w:t>
      </w:r>
    </w:p>
    <w:p>
      <w:pPr>
        <w:pStyle w:val="Heading1"/>
        <w:pBdr>
          <w:bottom w:val="single" w:color="0284C7" w:sz="6" w:space="3"/>
        </w:pBdr>
        <w:spacing w:after="140" w:before="280"/>
      </w:pPr>
      <w:r>
        <w:rPr>
          <w:rFonts w:ascii="Arial" w:cs="Arial" w:eastAsia="Arial" w:hAnsi="Arial"/>
          <w:b/>
          <w:bCs/>
          <w:color w:val="111827"/>
          <w:sz w:val="40"/>
          <w:szCs w:val="40"/>
        </w:rPr>
        <w:t xml:space="preserve">Three Insights that Change the Paradigm</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11827" w:val="clear"/>
            <w:tcMar>
              <w:top w:type="dxa" w:w="0"/>
              <w:left w:type="dxa" w:w="0"/>
              <w:bottom w:type="dxa" w:w="0"/>
              <w:right w:type="dxa" w:w="0"/>
            </w:tcMar>
          </w:tcPr>
          <w:p>
            <w:pPr>
              <w:shd w:fill="111827" w:val="clear"/>
              <w:spacing w:after="60" w:before="60"/>
              <w:ind w:left="120"/>
            </w:pPr>
            <w:r>
              <w:rPr>
                <w:rFonts w:ascii="Arial" w:cs="Arial" w:eastAsia="Arial" w:hAnsi="Arial"/>
                <w:b/>
                <w:bCs/>
                <w:color w:val="7DD3FC"/>
                <w:sz w:val="28"/>
                <w:szCs w:val="28"/>
              </w:rPr>
              <w:t xml:space="preserve">01  </w:t>
            </w:r>
            <w:r>
              <w:rPr>
                <w:rFonts w:ascii="Arial" w:cs="Arial" w:eastAsia="Arial" w:hAnsi="Arial"/>
                <w:color w:val="FFFFFF"/>
                <w:sz w:val="22"/>
                <w:szCs w:val="22"/>
              </w:rPr>
              <w:t xml:space="preserve">🎯  </w:t>
            </w:r>
            <w:r>
              <w:rPr>
                <w:rFonts w:ascii="Arial" w:cs="Arial" w:eastAsia="Arial" w:hAnsi="Arial"/>
                <w:b/>
                <w:bCs/>
                <w:color w:val="FFFFFF"/>
                <w:sz w:val="24"/>
                <w:szCs w:val="24"/>
              </w:rPr>
              <w:t xml:space="preserve">Prediction markets outperform traditional surveys</w:t>
            </w:r>
          </w:p>
        </w:tc>
      </w:tr>
      <w:tr>
        <w:tc>
          <w:tcPr>
            <w:tcW w:type="dxa" w:w="9360"/>
            <w:tcBorders>
              <w:top w:val="single" w:color="D1D5DB" w:sz="1"/>
              <w:left w:val="single" w:color="D1D5DB" w:sz="1"/>
              <w:bottom w:val="single" w:color="D1D5DB" w:sz="1"/>
              <w:right w:val="single" w:color="D1D5DB" w:sz="1"/>
            </w:tcBorders>
            <w:shd w:fill="F8FAFF" w:val="clear"/>
            <w:tcMar>
              <w:top w:type="dxa" w:w="120"/>
              <w:left w:type="dxa" w:w="200"/>
              <w:bottom w:type="dxa" w:w="120"/>
              <w:right w:type="dxa" w:w="200"/>
            </w:tcMar>
          </w:tcPr>
          <w:p>
            <w:pPr>
              <w:shd w:fill="F8FAFF" w:val="clear"/>
              <w:spacing w:after="50" w:before="50"/>
            </w:pPr>
            <w:r>
              <w:rPr>
                <w:rFonts w:ascii="Arial" w:cs="Arial" w:eastAsia="Arial" w:hAnsi="Arial"/>
                <w:color w:val="374151"/>
                <w:sz w:val="21"/>
                <w:szCs w:val="21"/>
              </w:rPr>
              <w:t xml:space="preserve">Opinion polls have a structural flaw: people declare what they think others want to hear, or what they wish were true. Prediction markets like Polymarket solve this problem through a simple yet powerful mechanism: money.</w:t>
            </w:r>
          </w:p>
          <w:p>
            <w:pPr>
              <w:shd w:fill="F8FAFF" w:val="clear"/>
              <w:spacing w:after="50" w:before="50"/>
            </w:pPr>
            <w:r>
              <w:rPr>
                <w:rFonts w:ascii="Arial" w:cs="Arial" w:eastAsia="Arial" w:hAnsi="Arial"/>
                <w:color w:val="374151"/>
                <w:sz w:val="21"/>
                <w:szCs w:val="21"/>
              </w:rPr>
              <w:t xml:space="preserve">When a participant places real capital on a position, they have a direct incentive to be honest with themselves and to research reality carefully. The resulting price is an aggregation of available market information, weighted by the conviction of those who have genuine "skin in the game." This mechanism is known as incentivized wisdom of crowds.</w:t>
            </w:r>
          </w:p>
          <w:p>
            <w:pPr>
              <w:shd w:fill="F8FAFF" w:val="clear"/>
              <w:spacing w:after="50" w:before="50"/>
            </w:pPr>
            <w:r>
              <w:rPr>
                <w:rFonts w:ascii="Arial" w:cs="Arial" w:eastAsia="Arial" w:hAnsi="Arial"/>
                <w:color w:val="374151"/>
                <w:sz w:val="21"/>
                <w:szCs w:val="21"/>
              </w:rPr>
              <w:t xml:space="preserve">The data confirms it: in the 2024 U.S. presidential election, prediction markets anticipated the outcome with greater accuracy than leading polling models, including those from globally recognized media outlets. Markets do not record preferences — they record credible probabilities backed by capital. This dynamic makes prediction markets fundamentally more functional and realistic than any conventional opinion measurement instrument.</w:t>
            </w:r>
          </w:p>
        </w:tc>
      </w:tr>
    </w:tbl>
    <w:p>
      <w:pPr>
        <w:spacing w:after="0" w:before="32"/>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11827" w:val="clear"/>
            <w:tcMar>
              <w:top w:type="dxa" w:w="0"/>
              <w:left w:type="dxa" w:w="0"/>
              <w:bottom w:type="dxa" w:w="0"/>
              <w:right w:type="dxa" w:w="0"/>
            </w:tcMar>
          </w:tcPr>
          <w:p>
            <w:pPr>
              <w:shd w:fill="111827" w:val="clear"/>
              <w:spacing w:after="60" w:before="60"/>
              <w:ind w:left="120"/>
            </w:pPr>
            <w:r>
              <w:rPr>
                <w:rFonts w:ascii="Arial" w:cs="Arial" w:eastAsia="Arial" w:hAnsi="Arial"/>
                <w:b/>
                <w:bCs/>
                <w:color w:val="7DD3FC"/>
                <w:sz w:val="28"/>
                <w:szCs w:val="28"/>
              </w:rPr>
              <w:t xml:space="preserve">02  </w:t>
            </w:r>
            <w:r>
              <w:rPr>
                <w:rFonts w:ascii="Arial" w:cs="Arial" w:eastAsia="Arial" w:hAnsi="Arial"/>
                <w:color w:val="FFFFFF"/>
                <w:sz w:val="22"/>
                <w:szCs w:val="22"/>
              </w:rPr>
              <w:t xml:space="preserve">📊  </w:t>
            </w:r>
            <w:r>
              <w:rPr>
                <w:rFonts w:ascii="Arial" w:cs="Arial" w:eastAsia="Arial" w:hAnsi="Arial"/>
                <w:b/>
                <w:bCs/>
                <w:color w:val="FFFFFF"/>
                <w:sz w:val="24"/>
                <w:szCs w:val="24"/>
              </w:rPr>
              <w:t xml:space="preserve">Prediction markets as a business market research tool</w:t>
            </w:r>
          </w:p>
        </w:tc>
      </w:tr>
      <w:tr>
        <w:tc>
          <w:tcPr>
            <w:tcW w:type="dxa" w:w="9360"/>
            <w:tcBorders>
              <w:top w:val="single" w:color="D1D5DB" w:sz="1"/>
              <w:left w:val="single" w:color="D1D5DB" w:sz="1"/>
              <w:bottom w:val="single" w:color="D1D5DB" w:sz="1"/>
              <w:right w:val="single" w:color="D1D5DB" w:sz="1"/>
            </w:tcBorders>
            <w:shd w:fill="F8FAFF" w:val="clear"/>
            <w:tcMar>
              <w:top w:type="dxa" w:w="120"/>
              <w:left w:type="dxa" w:w="200"/>
              <w:bottom w:type="dxa" w:w="120"/>
              <w:right w:type="dxa" w:w="200"/>
            </w:tcMar>
          </w:tcPr>
          <w:p>
            <w:pPr>
              <w:shd w:fill="F8FAFF" w:val="clear"/>
              <w:spacing w:after="50" w:before="50"/>
            </w:pPr>
            <w:r>
              <w:rPr>
                <w:rFonts w:ascii="Arial" w:cs="Arial" w:eastAsia="Arial" w:hAnsi="Arial"/>
                <w:color w:val="374151"/>
                <w:sz w:val="21"/>
                <w:szCs w:val="21"/>
              </w:rPr>
              <w:t xml:space="preserve">Traditional business intelligence relies on consumer surveys, focus groups, and historical data analysis — all with well-known limitations. Prediction markets offer a radically different alternative: real-time information, continuously updated, generated by agents with financial incentives to be accurate.</w:t>
            </w:r>
          </w:p>
          <w:p>
            <w:pPr>
              <w:shd w:fill="F8FAFF" w:val="clear"/>
              <w:spacing w:after="50" w:before="50"/>
            </w:pPr>
            <w:r>
              <w:rPr>
                <w:rFonts w:ascii="Arial" w:cs="Arial" w:eastAsia="Arial" w:hAnsi="Arial"/>
                <w:color w:val="374151"/>
                <w:sz w:val="21"/>
                <w:szCs w:val="21"/>
              </w:rPr>
              <w:t xml:space="preserve">In the business world, this has concrete and immediate applications. Companies can create internal prediction markets to anticipate the success of product launches, estimate project delivery timelines, or assess the regulatory risk of specific markets. The practice, known as Enterprise Prediction Markets, has been adopted experimentally by companies like Google, Microsoft, and Intel to improve the accuracy of their internal forecasts.</w:t>
            </w:r>
          </w:p>
          <w:p>
            <w:pPr>
              <w:shd w:fill="F8FAFF" w:val="clear"/>
              <w:spacing w:after="50" w:before="50"/>
            </w:pPr>
            <w:r>
              <w:rPr>
                <w:rFonts w:ascii="Arial" w:cs="Arial" w:eastAsia="Arial" w:hAnsi="Arial"/>
                <w:color w:val="374151"/>
                <w:sz w:val="21"/>
                <w:szCs w:val="21"/>
              </w:rPr>
              <w:t xml:space="preserve">Externally, Polymarket prices already function as competitive intelligence signals: the price of a market on "Will the FDA approve drug X?" reflects the collective estimate of analysts, insiders, and sector experts — all in real time. Companies that learn to read and leverage this information will gain a significant competitive intelligence advantage over their peers.</w:t>
            </w:r>
          </w:p>
        </w:tc>
      </w:tr>
    </w:tbl>
    <w:p>
      <w:pPr>
        <w:spacing w:after="0" w:before="32"/>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11827" w:val="clear"/>
            <w:tcMar>
              <w:top w:type="dxa" w:w="0"/>
              <w:left w:type="dxa" w:w="0"/>
              <w:bottom w:type="dxa" w:w="0"/>
              <w:right w:type="dxa" w:w="0"/>
            </w:tcMar>
          </w:tcPr>
          <w:p>
            <w:pPr>
              <w:shd w:fill="111827" w:val="clear"/>
              <w:spacing w:after="60" w:before="60"/>
              <w:ind w:left="120"/>
            </w:pPr>
            <w:r>
              <w:rPr>
                <w:rFonts w:ascii="Arial" w:cs="Arial" w:eastAsia="Arial" w:hAnsi="Arial"/>
                <w:b/>
                <w:bCs/>
                <w:color w:val="7DD3FC"/>
                <w:sz w:val="28"/>
                <w:szCs w:val="28"/>
              </w:rPr>
              <w:t xml:space="preserve">03  </w:t>
            </w:r>
            <w:r>
              <w:rPr>
                <w:rFonts w:ascii="Arial" w:cs="Arial" w:eastAsia="Arial" w:hAnsi="Arial"/>
                <w:color w:val="FFFFFF"/>
                <w:sz w:val="22"/>
                <w:szCs w:val="22"/>
              </w:rPr>
              <w:t xml:space="preserve">⚖️  </w:t>
            </w:r>
            <w:r>
              <w:rPr>
                <w:rFonts w:ascii="Arial" w:cs="Arial" w:eastAsia="Arial" w:hAnsi="Arial"/>
                <w:b/>
                <w:bCs/>
                <w:color w:val="FFFFFF"/>
                <w:sz w:val="24"/>
                <w:szCs w:val="24"/>
              </w:rPr>
              <w:t xml:space="preserve">Real investment opportunities — and risks that must not be underestimated</w:t>
            </w:r>
          </w:p>
        </w:tc>
      </w:tr>
      <w:tr>
        <w:tc>
          <w:tcPr>
            <w:tcW w:type="dxa" w:w="9360"/>
            <w:tcBorders>
              <w:top w:val="single" w:color="D1D5DB" w:sz="1"/>
              <w:left w:val="single" w:color="D1D5DB" w:sz="1"/>
              <w:bottom w:val="single" w:color="D1D5DB" w:sz="1"/>
              <w:right w:val="single" w:color="D1D5DB" w:sz="1"/>
            </w:tcBorders>
            <w:shd w:fill="F8FAFF" w:val="clear"/>
            <w:tcMar>
              <w:top w:type="dxa" w:w="120"/>
              <w:left w:type="dxa" w:w="200"/>
              <w:bottom w:type="dxa" w:w="120"/>
              <w:right w:type="dxa" w:w="200"/>
            </w:tcMar>
          </w:tcPr>
          <w:p>
            <w:pPr>
              <w:shd w:fill="F8FAFF" w:val="clear"/>
              <w:spacing w:after="50" w:before="50"/>
            </w:pPr>
            <w:r>
              <w:rPr>
                <w:rFonts w:ascii="Arial" w:cs="Arial" w:eastAsia="Arial" w:hAnsi="Arial"/>
                <w:color w:val="374151"/>
                <w:sz w:val="21"/>
                <w:szCs w:val="21"/>
              </w:rPr>
              <w:t xml:space="preserve">The catalog of 28 strategies demonstrates that Polymarket is not simply a betting site: it is a sophisticated financial ecosystem with quantifiable return opportunities. Binary arbitrage (ARB-01/02) carries an academically documented 87% success rate. Minting with compounding (MINT-06) projects returns of ~40.6% per month with a minimum capital of $500. These figures are exceptional by any conventional asset class standard.</w:t>
            </w:r>
          </w:p>
          <w:p>
            <w:pPr>
              <w:shd w:fill="F8FAFF" w:val="clear"/>
              <w:spacing w:after="50" w:before="50"/>
            </w:pPr>
            <w:r>
              <w:rPr>
                <w:rFonts w:ascii="Arial" w:cs="Arial" w:eastAsia="Arial" w:hAnsi="Arial"/>
                <w:color w:val="374151"/>
                <w:sz w:val="21"/>
                <w:szCs w:val="21"/>
              </w:rPr>
              <w:t xml:space="preserve">However, the risks are equally real and multiple. Partial execution risk in arbitrage (13% of cases) can transform a guaranteed gain into net exposure to the event outcome. Liquidity risk in NegRisk markets is the primary bottleneck for ARB-03 (40% failure rate). Regulatory risk is real: several countries may restrict or ban these markets with little advance notice. And technological risk — smart contracts, blockchain bridges, USDC custody — is inherent to all DeFi operations.</w:t>
            </w:r>
          </w:p>
          <w:p>
            <w:pPr>
              <w:shd w:fill="F8FAFF" w:val="clear"/>
              <w:spacing w:after="50" w:before="50"/>
            </w:pPr>
            <w:r>
              <w:rPr>
                <w:rFonts w:ascii="Arial" w:cs="Arial" w:eastAsia="Arial" w:hAnsi="Arial"/>
                <w:color w:val="374151"/>
                <w:sz w:val="21"/>
                <w:szCs w:val="21"/>
              </w:rPr>
              <w:t xml:space="preserve">The balanced conclusion is that Polymarket offers genuine and documented opportunities, especially for investors with the technical capacity to automate the highest-efficiency strategies. But it requires rigorous risk management, risk capital the investor can afford to lose, and constant monitoring of a rapidly evolving regulatory environment. It is not for passive investors — it is for those willing to deeply understand the mechanisms and operate with discipline.</w:t>
            </w:r>
          </w:p>
        </w:tc>
      </w:tr>
    </w:tbl>
    <w:p>
      <w:pPr>
        <w:spacing w:after="0" w:before="160"/>
      </w:pPr>
      <w:r>
        <w:t xml:space="preserve"/>
      </w:r>
    </w:p>
    <w:p>
      <w:pPr>
        <w:pBdr>
          <w:bottom w:val="single" w:color="0284C7" w:sz="4" w:space="2"/>
        </w:pBdr>
        <w:spacing w:after="60" w:before="60"/>
      </w:pPr>
      <w:r>
        <w:t xml:space="preserve"/>
      </w:r>
    </w:p>
    <w:p>
      <w:pPr>
        <w:spacing w:after="20" w:before="60"/>
        <w:jc w:val="center"/>
      </w:pPr>
      <w:r>
        <w:rPr>
          <w:rFonts w:ascii="Courier New" w:cs="Courier New" w:eastAsia="Courier New" w:hAnsi="Courier New"/>
          <w:color w:val="6B7280"/>
          <w:sz w:val="17"/>
          <w:szCs w:val="17"/>
        </w:rPr>
        <w:t xml:space="preserve">PROYECT_MONI v1.0  —  Polymarket Investment Strategy Catalog  ·  February 2026</w:t>
      </w:r>
    </w:p>
    <w:p>
      <w:pPr>
        <w:spacing w:after="20" w:before="0"/>
        <w:jc w:val="center"/>
      </w:pPr>
      <w:r>
        <w:rPr>
          <w:rFonts w:ascii="Arial" w:cs="Arial" w:eastAsia="Arial" w:hAnsi="Arial"/>
          <w:color w:val="9CA3AF"/>
          <w:sz w:val="17"/>
          <w:szCs w:val="17"/>
        </w:rPr>
        <w:t xml:space="preserve">Sources: Polymarket.com  ·  arXiv:2508.03474v1  ·  Minting Strategy  ·  LP Rewards Maximization</w:t>
      </w:r>
    </w:p>
    <w:p>
      <w:pPr>
        <w:spacing w:after="60" w:before="0"/>
        <w:jc w:val="center"/>
      </w:pPr>
      <w:r>
        <w:rPr>
          <w:rFonts w:ascii="Arial" w:cs="Arial" w:eastAsia="Arial" w:hAnsi="Arial"/>
          <w:i/>
          <w:iCs/>
          <w:color w:val="9CA3AF"/>
          <w:sz w:val="16"/>
          <w:szCs w:val="16"/>
        </w:rPr>
        <w:t xml:space="preserve">This document is technical and educational. It does not constitute investment advice. Past returns do not guarantee future results.</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284C7" w:sz="4" w:space="2"/>
      </w:pBdr>
      <w:tabs>
        <w:tab w:val="right" w:pos="9026"/>
      </w:tabs>
      <w:spacing w:after="0" w:before="120"/>
    </w:pPr>
    <w:r>
      <w:rPr>
        <w:rFonts w:ascii="Arial" w:cs="Arial" w:eastAsia="Arial" w:hAnsi="Arial"/>
        <w:color w:val="6B7280"/>
        <w:sz w:val="16"/>
        <w:szCs w:val="16"/>
      </w:rPr>
      <w:t xml:space="preserve">Technical &amp; Educational Document — Not Investment Advice</w:t>
    </w:r>
    <w:r>
      <w:rPr>
        <w:rFonts w:ascii="Arial" w:cs="Arial" w:eastAsia="Arial" w:hAnsi="Arial"/>
        <w:color w:val="6B7280"/>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284C7" w:sz="4" w:space="2"/>
      </w:pBdr>
      <w:spacing w:after="120" w:before="0"/>
    </w:pPr>
    <w:r>
      <w:rPr>
        <w:rFonts w:ascii="Arial" w:cs="Arial" w:eastAsia="Arial" w:hAnsi="Arial"/>
        <w:b/>
        <w:bCs/>
        <w:color w:val="111827"/>
        <w:sz w:val="18"/>
        <w:szCs w:val="18"/>
      </w:rPr>
      <w:t xml:space="preserve">Polymarket: 28 Investment Strategies</w:t>
    </w:r>
    <w:r>
      <w:rPr>
        <w:rFonts w:ascii="Arial" w:cs="Arial" w:eastAsia="Arial" w:hAnsi="Arial"/>
        <w:color w:val="6B7280"/>
        <w:sz w:val="18"/>
        <w:szCs w:val="18"/>
      </w:rPr>
      <w:t xml:space="preserve">  |  Proyect_Moni v1.0  |  Technical Report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11827"/>
      <w:sz w:val="40"/>
      <w:szCs w:val="40"/>
    </w:rPr>
  </w:style>
  <w:style w:type="paragraph" w:styleId="Heading2">
    <w:name w:val="Heading 2"/>
    <w:basedOn w:val="Normal"/>
    <w:next w:val="Normal"/>
    <w:qFormat/>
    <w:pPr>
      <w:spacing w:after="100" w:before="220"/>
      <w:outlineLvl w:val="1"/>
    </w:pPr>
    <w:rPr>
      <w:rFonts w:ascii="Arial" w:cs="Arial" w:eastAsia="Arial" w:hAnsi="Arial"/>
      <w:b/>
      <w:bCs/>
      <w:color w:val="111827"/>
      <w:sz w:val="28"/>
      <w:szCs w:val="28"/>
    </w:rPr>
  </w:style>
  <w:style w:type="paragraph" w:styleId="Heading3">
    <w:name w:val="Heading 3"/>
    <w:basedOn w:val="Normal"/>
    <w:next w:val="Normal"/>
    <w:qFormat/>
    <w:pPr>
      <w:spacing w:after="80" w:before="180"/>
      <w:outlineLvl w:val="2"/>
    </w:pPr>
    <w:rPr>
      <w:rFonts w:ascii="Arial" w:cs="Arial" w:eastAsia="Arial" w:hAnsi="Arial"/>
      <w:b/>
      <w:bCs/>
      <w:color w:val="11182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2026-04-11T16:20:25.150Z</dcterms:created>
  <dcterms:modified xsi:type="dcterms:W3CDTF">2026-04-11T16:20:25.150Z</dcterms:modified>
</cp:coreProperties>
</file>

<file path=docProps/custom.xml><?xml version="1.0" encoding="utf-8"?>
<Properties xmlns="http://schemas.openxmlformats.org/officeDocument/2006/custom-properties" xmlns:vt="http://schemas.openxmlformats.org/officeDocument/2006/docPropsVTypes"/>
</file>