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360" w:after="80"/>
        <w:rPr/>
      </w:pPr>
      <w:r>
        <w:rPr/>
        <w:t>Cloud</w:t>
      </w:r>
      <w:bookmarkStart w:id="0" w:name="X71d92886be985b5b3bdc555e091061ddf373b7c"/>
      <w:r>
        <w:rPr/>
        <w:t xml:space="preserve"> VPS – Kompletní nákupní flow (obrazově)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1" name="Tva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Tvar1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1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landing-page-root"/>
      <w:bookmarkEnd w:id="1"/>
      <w:r>
        <w:rPr/>
        <w:t>1. Landing Page – root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Uživatel navštíví hlavní (root) landing page </w:t>
      </w:r>
    </w:p>
    <w:p>
      <w:pPr>
        <w:pStyle w:val="Compact"/>
        <w:ind w:left="720"/>
        <w:rPr/>
      </w:pPr>
      <w:r>
        <w:rPr/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Landing Page</w:t>
      </w:r>
    </w:p>
    <w:p>
      <w:pPr>
        <w:pStyle w:val="BodyText"/>
        <w:rPr/>
      </w:pPr>
      <w:r>
        <w:rPr/>
        <w:t>http://localhost:3000/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3" name="Tva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Tvar2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2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2" w:name="landing-page-root"/>
      <w:bookmarkStart w:id="3" w:name="výběr-vps-plánu"/>
      <w:bookmarkEnd w:id="2"/>
      <w:bookmarkEnd w:id="3"/>
      <w:r>
        <w:rPr/>
        <w:t>2. Výběr VPS plánu</w:t>
      </w:r>
    </w:p>
    <w:p>
      <w:pPr>
        <w:pStyle w:val="Compact"/>
        <w:numPr>
          <w:ilvl w:val="0"/>
          <w:numId w:val="9"/>
        </w:numPr>
        <w:rPr/>
      </w:pPr>
      <w:r>
        <w:rPr/>
        <w:t>Uživatel přejde na stránku VPS hostingu.</w:t>
      </w:r>
    </w:p>
    <w:p>
      <w:pPr>
        <w:pStyle w:val="Compact"/>
        <w:numPr>
          <w:ilvl w:val="0"/>
          <w:numId w:val="10"/>
        </w:numPr>
        <w:rPr/>
      </w:pPr>
      <w:r>
        <w:rPr/>
        <w:t>Vybere si konkrétní plán dle požadovaných parametrů.</w:t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 - Vybere si konkrétní plán dle požadovaných parametrů.</w:t>
      </w:r>
    </w:p>
    <w:p>
      <w:pPr>
        <w:pStyle w:val="BodyText"/>
        <w:rPr/>
      </w:pPr>
      <w:hyperlink r:id="rId2">
        <w:r>
          <w:rPr>
            <w:rStyle w:val="Hyperlink"/>
          </w:rPr>
          <w:t>http://localhost:3000/vps</w:t>
        </w:r>
      </w:hyperlink>
    </w:p>
    <w:p>
      <w:pPr>
        <w:pStyle w:val="BodyText"/>
        <w:rPr/>
      </w:pPr>
      <w:r>
        <w:rPr/>
        <w:drawing>
          <wp:inline distT="0" distB="0" distL="0" distR="0">
            <wp:extent cx="5972810" cy="3103245"/>
            <wp:effectExtent l="0" t="0" r="0" b="0"/>
            <wp:docPr id="5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6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Tvar3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3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r>
        <w:rPr/>
      </w:r>
      <w:bookmarkStart w:id="4" w:name="výběr-vps-plánu"/>
      <w:bookmarkStart w:id="5" w:name="výběr-délky-předplatného-a-košík"/>
      <w:bookmarkStart w:id="6" w:name="výběr-vps-plánu"/>
      <w:bookmarkStart w:id="7" w:name="výběr-délky-předplatného-a-košík"/>
      <w:bookmarkEnd w:id="6"/>
      <w:bookmarkEnd w:id="7"/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3. Výběr produktů do košíku, délka předplatného a Add-Ons</w:t>
      </w:r>
    </w:p>
    <w:p>
      <w:pPr>
        <w:pStyle w:val="Compact"/>
        <w:numPr>
          <w:ilvl w:val="0"/>
          <w:numId w:val="11"/>
        </w:numPr>
        <w:rPr/>
      </w:pPr>
      <w:r>
        <w:rPr/>
        <w:t>Volba délky předplatného (1, 12, 24, 48 měsíců).</w:t>
      </w:r>
    </w:p>
    <w:p>
      <w:pPr>
        <w:pStyle w:val="Compact"/>
        <w:numPr>
          <w:ilvl w:val="0"/>
          <w:numId w:val="12"/>
        </w:numPr>
        <w:rPr/>
      </w:pPr>
      <w:r>
        <w:rPr/>
        <w:t>Možnost vložení slevového kódu.</w:t>
      </w:r>
    </w:p>
    <w:p>
      <w:pPr>
        <w:pStyle w:val="Compact"/>
        <w:numPr>
          <w:ilvl w:val="0"/>
          <w:numId w:val="13"/>
        </w:numPr>
        <w:rPr/>
      </w:pPr>
      <w:r>
        <w:rPr/>
        <w:t>Přechod do košíku.</w:t>
      </w:r>
    </w:p>
    <w:p>
      <w:pPr>
        <w:pStyle w:val="Compact"/>
        <w:ind w:left="720"/>
        <w:rPr/>
      </w:pPr>
      <w:r>
        <w:rPr/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Zkopíruj ze stánky </w:t>
      </w:r>
      <w:hyperlink r:id="rId4">
        <w:r>
          <w:rPr>
            <w:rStyle w:val="Hyperlink"/>
          </w:rPr>
          <w:t>http://localhost:3000/payment</w:t>
        </w:r>
      </w:hyperlink>
    </w:p>
    <w:p>
      <w:pPr>
        <w:pStyle w:val="BodyText"/>
        <w:rPr/>
      </w:pPr>
      <w:r>
        <w:rPr/>
        <w:t>Odstran registrační a platbní údaje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inline distT="0" distB="0" distL="0" distR="0">
            <wp:extent cx="5972810" cy="3068955"/>
            <wp:effectExtent l="0" t="0" r="0" b="0"/>
            <wp:docPr id="8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6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9" name="Tvar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Tvar4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4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výběr-délky-předplatného-a-košík"/>
      <w:bookmarkStart w:id="9" w:name="přihlášení-nebo-registrace-účtu"/>
      <w:bookmarkEnd w:id="8"/>
      <w:bookmarkEnd w:id="9"/>
      <w:r>
        <w:rPr/>
        <w:t>4. Přihlášení nebo registrace účtu</w:t>
      </w:r>
    </w:p>
    <w:p>
      <w:pPr>
        <w:pStyle w:val="Compact"/>
        <w:rPr/>
      </w:pPr>
      <w:r>
        <w:rPr/>
        <w:t xml:space="preserve"> • </w:t>
      </w:r>
      <w:r>
        <w:rPr/>
        <w:t>Zadání registračních údajů: Uživatel zadá registrační údaje pomocí Google účtu, e-mailu nebo jiné metody.</w:t>
      </w:r>
    </w:p>
    <w:p>
      <w:pPr>
        <w:pStyle w:val="Compact"/>
        <w:rPr/>
      </w:pPr>
      <w:r>
        <w:rPr/>
        <w:t xml:space="preserve">• </w:t>
      </w:r>
      <w:r>
        <w:rPr/>
        <w:t>Ověření registračních údajů: Systém zkontroluje platnost a dostupnost e-mailu nebo Google účtu.</w:t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drawing>
          <wp:inline distT="0" distB="0" distL="0" distR="0">
            <wp:extent cx="5972810" cy="4469765"/>
            <wp:effectExtent l="0" t="0" r="0" b="0"/>
            <wp:docPr id="11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6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12" name="Tvar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Tvar5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5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přihlášení-nebo-registrace-účtu"/>
      <w:bookmarkStart w:id="11" w:name="zadání-fakturačních-údajů"/>
      <w:bookmarkEnd w:id="10"/>
      <w:bookmarkEnd w:id="11"/>
      <w:r>
        <w:rPr/>
        <w:t>5. Zadání fakturačních údajů</w:t>
      </w:r>
    </w:p>
    <w:p>
      <w:pPr>
        <w:pStyle w:val="Compact"/>
        <w:numPr>
          <w:ilvl w:val="0"/>
          <w:numId w:val="14"/>
        </w:numPr>
        <w:rPr/>
      </w:pPr>
      <w:r>
        <w:rPr/>
        <w:t>Předvyplnění registrašních údajů z registrace</w:t>
      </w:r>
    </w:p>
    <w:p>
      <w:pPr>
        <w:pStyle w:val="Compact"/>
        <w:numPr>
          <w:ilvl w:val="0"/>
          <w:numId w:val="15"/>
        </w:numPr>
        <w:rPr/>
      </w:pPr>
      <w:r>
        <w:rPr/>
        <w:t>Vyplnění osobních a fakturačních údajů, příp. Údaje o formě přes CheckBox (firma, IČO)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  </w:t>
      </w:r>
      <w:r>
        <w:rPr/>
        <w:t>Po uspešné registraci</w:t>
      </w:r>
    </w:p>
    <w:p>
      <w:pPr>
        <w:pStyle w:val="Compact"/>
        <w:numPr>
          <w:ilvl w:val="0"/>
          <w:numId w:val="17"/>
        </w:numPr>
        <w:rPr/>
      </w:pPr>
      <w:r>
        <w:rPr/>
        <w:t>Registrace klienta v databázi HostBill a vytvoření objednávky v systému HostBill.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  </w:t>
      </w:r>
      <w:r>
        <w:rPr/>
        <w:t>Použij postup dle kroku 1. Create order dle http://localhost:3000/real-payment-flow-test</w:t>
      </w:r>
    </w:p>
    <w:p>
      <w:pPr>
        <w:pStyle w:val="Compact"/>
        <w:ind w:left="720"/>
        <w:rPr/>
      </w:pPr>
      <w:r>
        <w:rPr/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</w:t>
      </w:r>
    </w:p>
    <w:p>
      <w:pPr>
        <w:pStyle w:val="Compact"/>
        <w:ind w:left="720"/>
        <w:rPr/>
      </w:pPr>
      <w:r>
        <w:rPr/>
      </w:r>
    </w:p>
    <w:p>
      <w:pPr>
        <w:pStyle w:val="Compact"/>
        <w:ind w:left="720"/>
        <w:rPr/>
      </w:pPr>
      <w:r>
        <w:rPr/>
      </w:r>
    </w:p>
    <w:p>
      <w:pPr>
        <w:pStyle w:val="Compact"/>
        <w:ind w:left="720"/>
        <w:rPr/>
      </w:pPr>
      <w:r>
        <w:rPr/>
        <w:drawing>
          <wp:inline distT="0" distB="0" distL="0" distR="0">
            <wp:extent cx="5972810" cy="3536950"/>
            <wp:effectExtent l="0" t="0" r="0" b="0"/>
            <wp:docPr id="14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3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15" name="Tvar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Tvar6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6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2" w:name="zadání-fakturačních-údajů"/>
      <w:bookmarkStart w:id="13" w:name="výběr-a-potvrzení-platební-metody"/>
      <w:bookmarkEnd w:id="12"/>
      <w:bookmarkEnd w:id="13"/>
      <w:r>
        <w:rPr/>
        <w:t>6. Výběr a potvrzení platební metody</w:t>
      </w:r>
    </w:p>
    <w:p>
      <w:pPr>
        <w:pStyle w:val="Compact"/>
        <w:ind w:left="720"/>
        <w:rPr/>
      </w:pPr>
      <w:r>
        <w:rPr/>
      </w:r>
    </w:p>
    <w:p>
      <w:pPr>
        <w:pStyle w:val="Compact"/>
        <w:numPr>
          <w:ilvl w:val="0"/>
          <w:numId w:val="19"/>
        </w:numPr>
        <w:rPr/>
      </w:pPr>
      <w:r>
        <w:rPr/>
        <w:t>Zadání údajů k platbě a potvrzení objednávky.</w:t>
      </w:r>
    </w:p>
    <w:p>
      <w:pPr>
        <w:pStyle w:val="Compact"/>
        <w:numPr>
          <w:ilvl w:val="0"/>
          <w:numId w:val="20"/>
        </w:numPr>
        <w:rPr/>
      </w:pPr>
      <w:r>
        <w:rPr/>
        <w:t>Zadání platebních údajů: Uživatel zadá potřebné platební informace.</w:t>
      </w:r>
    </w:p>
    <w:p>
      <w:pPr>
        <w:pStyle w:val="Compact"/>
        <w:numPr>
          <w:ilvl w:val="0"/>
          <w:numId w:val="21"/>
        </w:numPr>
        <w:rPr/>
      </w:pPr>
      <w:r>
        <w:rPr/>
        <w:t>Platební formulář: Zobrazí se iframe s platebním formulářem Comgate, kde uživatel dokončí platbu.</w:t>
      </w:r>
    </w:p>
    <w:p>
      <w:pPr>
        <w:pStyle w:val="Compact"/>
        <w:ind w:left="720"/>
        <w:rPr/>
      </w:pPr>
      <w:r>
        <w:rPr/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Výběr platební metody (karta, PayPal apod.) </w:t>
      </w:r>
    </w:p>
    <w:p>
      <w:pPr>
        <w:pStyle w:val="Compact"/>
        <w:ind w:left="720"/>
        <w:rPr/>
      </w:pPr>
      <w:r>
        <w:rPr/>
        <w:t xml:space="preserve">Platební metody načti přesně podle: </w:t>
      </w:r>
    </w:p>
    <w:p>
      <w:pPr>
        <w:pStyle w:val="Compact"/>
        <w:ind w:left="720"/>
        <w:rPr/>
      </w:pPr>
      <w:hyperlink r:id="rId8">
        <w:r>
          <w:rPr>
            <w:rStyle w:val="Hyperlink"/>
          </w:rPr>
          <w:t>http://localhost:3000/middleware-payment-modules</w:t>
        </w:r>
      </w:hyperlink>
      <w:r>
        <w:rPr/>
        <w:t xml:space="preserve"> </w:t>
      </w:r>
    </w:p>
    <w:p>
      <w:pPr>
        <w:pStyle w:val="Compact"/>
        <w:ind w:left="720"/>
        <w:rPr/>
      </w:pPr>
      <w:r>
        <w:rPr/>
        <w:t>Implicitní metoda comgate</w:t>
      </w:r>
    </w:p>
    <w:p>
      <w:pPr>
        <w:pStyle w:val="Compact"/>
        <w:ind w:left="720"/>
        <w:rPr/>
      </w:pPr>
      <w:r>
        <w:rPr/>
      </w:r>
    </w:p>
    <w:p>
      <w:pPr>
        <w:pStyle w:val="Compact"/>
        <w:numPr>
          <w:ilvl w:val="0"/>
          <w:numId w:val="23"/>
        </w:numPr>
        <w:rPr/>
      </w:pPr>
      <w:r>
        <w:rPr/>
        <w:t>Po stisku tla</w:t>
      </w:r>
      <w:r>
        <w:rPr>
          <w:lang w:val="cs-CZ"/>
        </w:rPr>
        <w:t>čítka: dokonči objednávku následuje:</w:t>
      </w:r>
    </w:p>
    <w:p>
      <w:pPr>
        <w:pStyle w:val="Compact"/>
        <w:numPr>
          <w:ilvl w:val="0"/>
          <w:numId w:val="24"/>
        </w:numPr>
        <w:rPr>
          <w:lang w:val="cs-CZ"/>
        </w:rPr>
      </w:pPr>
      <w:r>
        <w:rPr>
          <w:lang w:val="cs-CZ"/>
        </w:rPr>
        <w:t>Přesměrování na platební bránu ComGate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 </w:t>
      </w:r>
      <w:r>
        <w:rPr/>
        <w:t>Zpracování platby: HostBill zkontroluje, zda byla platba úspěšně zpracována.</w:t>
      </w:r>
    </w:p>
    <w:p>
      <w:pPr>
        <w:pStyle w:val="Compact"/>
        <w:numPr>
          <w:ilvl w:val="0"/>
          <w:numId w:val="26"/>
        </w:numPr>
        <w:rPr/>
      </w:pPr>
      <w:r>
        <w:rPr/>
        <w:t>Označení objednávky jako zaplacené: Při úspěchu se objednávka</w:t>
      </w:r>
    </w:p>
    <w:p>
      <w:pPr>
        <w:pStyle w:val="Compact"/>
        <w:numPr>
          <w:ilvl w:val="0"/>
          <w:numId w:val="27"/>
        </w:numPr>
        <w:rPr/>
      </w:pPr>
      <w:r>
        <w:rPr/>
        <w:t>označí jako zaplacená v systému HostBill.</w:t>
      </w:r>
    </w:p>
    <w:p>
      <w:pPr>
        <w:pStyle w:val="Compact"/>
        <w:ind w:left="720"/>
        <w:rPr/>
      </w:pPr>
      <w:r>
        <w:rPr/>
        <w:t xml:space="preserve">Postup udělej přesně podle: </w:t>
      </w:r>
    </w:p>
    <w:p>
      <w:pPr>
        <w:pStyle w:val="Compact"/>
        <w:ind w:left="720"/>
        <w:rPr/>
      </w:pPr>
      <w:hyperlink r:id="rId9">
        <w:r>
          <w:rPr>
            <w:rStyle w:val="Hyperlink"/>
          </w:rPr>
          <w:t>http://localhost:3000/real-payment-flow-test</w:t>
        </w:r>
      </w:hyperlink>
    </w:p>
    <w:p>
      <w:pPr>
        <w:pStyle w:val="Compact"/>
        <w:ind w:left="720"/>
        <w:rPr/>
      </w:pPr>
      <w:r>
        <w:rPr/>
      </w:r>
    </w:p>
    <w:p>
      <w:pPr>
        <w:pStyle w:val="Compact"/>
        <w:ind w:left="720"/>
        <w:rPr/>
      </w:pPr>
      <w:r>
        <w:rPr/>
        <w:t>od kroku 2.!</w:t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</w:t>
      </w:r>
    </w:p>
    <w:p>
      <w:pPr>
        <w:pStyle w:val="BodyText"/>
        <w:rPr/>
      </w:pPr>
      <w:r>
        <w:rPr/>
        <w:drawing>
          <wp:inline distT="0" distB="0" distL="0" distR="0">
            <wp:extent cx="5972810" cy="3874135"/>
            <wp:effectExtent l="0" t="0" r="0" b="0"/>
            <wp:docPr id="17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7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18" name="Tvar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Tvar7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7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4" w:name="výběr-a-potvrzení-platební-metody"/>
      <w:bookmarkStart w:id="15" w:name="dokončení-objednávky-a-nastavení-vps"/>
      <w:bookmarkEnd w:id="14"/>
      <w:bookmarkEnd w:id="15"/>
      <w:r>
        <w:rPr/>
        <w:t>7. Dokončení objednávky a nastavení VPS</w:t>
      </w:r>
    </w:p>
    <w:p>
      <w:pPr>
        <w:pStyle w:val="Compact"/>
        <w:numPr>
          <w:ilvl w:val="0"/>
          <w:numId w:val="28"/>
        </w:numPr>
        <w:rPr/>
      </w:pPr>
      <w:r>
        <w:rPr/>
        <w:t>Po úspěšné platbě je uživatel přesměrován na stránku pro nastavení VPS (výběr OS, hostname, heslo, SSH klíč).</w:t>
      </w:r>
    </w:p>
    <w:p>
      <w:pPr>
        <w:pStyle w:val="FirstParagraph"/>
        <w:rPr/>
      </w:pPr>
      <w:r>
        <w:rPr>
          <w:i/>
          <w:iCs/>
        </w:rPr>
        <w:t>Ukázkový náhled:</w:t>
      </w:r>
      <w:r>
        <w:rPr/>
        <w:t xml:space="preserve">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inline distT="0" distB="0" distL="0" distR="0">
            <wp:extent cx="6858000" cy="3228340"/>
            <wp:effectExtent l="0" t="0" r="0" b="0"/>
            <wp:docPr id="20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21" name="Tvar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Tvar8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8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6" w:name="dokončení-objednávky-a-nastavení-vps"/>
      <w:bookmarkStart w:id="17" w:name="správa-vps-v-hpanelu"/>
      <w:bookmarkEnd w:id="16"/>
      <w:r>
        <w:rPr/>
        <w:t>8. Správa VPS v hPanelu</w:t>
      </w:r>
    </w:p>
    <w:p>
      <w:pPr>
        <w:pStyle w:val="Compact"/>
        <w:numPr>
          <w:ilvl w:val="0"/>
          <w:numId w:val="29"/>
        </w:numPr>
        <w:rPr/>
      </w:pPr>
      <w:r>
        <w:rPr/>
        <w:t>Po dokončení setupu je VPS dostupný v dashboardu hPanelu.</w:t>
      </w:r>
    </w:p>
    <w:p>
      <w:pPr>
        <w:pStyle w:val="Compact"/>
        <w:numPr>
          <w:ilvl w:val="0"/>
          <w:numId w:val="30"/>
        </w:numPr>
        <w:rPr/>
      </w:pPr>
      <w:r>
        <w:rPr/>
        <w:t>Možnost správy (restart, reinstall, firewall, SSH přístup, monitoring atd.).</w:t>
      </w:r>
    </w:p>
    <w:p>
      <w:pPr>
        <w:pStyle w:val="Normal"/>
        <w:rPr/>
      </w:pPr>
      <w:bookmarkStart w:id="18" w:name="správa-vps-v-hpanelu"/>
      <w:r>
        <w:rPr/>
        <mc:AlternateContent>
          <mc:Choice Requires="wps">
            <w:drawing>
              <wp:inline distT="0" distB="0" distL="0" distR="0">
                <wp:extent cx="6858000" cy="19050"/>
                <wp:effectExtent l="0" t="0" r="0" b="0"/>
                <wp:docPr id="23" name="Tvar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Tvar9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Tvar9" fillcolor="white" stroked="t" o:allowincell="f" style="position:absolute;margin-left:0pt;margin-top:-1.55pt;width:539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0"/>
      <w:bookmarkEnd w:id="18"/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</w:r>
    </w:p>
    <w:p>
      <w:pPr>
        <w:pStyle w:val="Normal"/>
        <w:rPr>
          <w:b/>
          <w:bCs/>
          <w:lang w:val="cs-CZ"/>
        </w:rPr>
      </w:pPr>
      <w:r>
        <w:rPr>
          <w:b/>
          <w:bCs/>
          <w:lang w:val="cs-CZ"/>
        </w:rPr>
        <w:t>Shrnutí jednotlivých kroků nákupního procesu Systrix VPS</w:t>
      </w:r>
    </w:p>
    <w:tbl>
      <w:tblPr>
        <w:tblW w:w="1080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8"/>
        <w:gridCol w:w="3451"/>
        <w:gridCol w:w="6771"/>
      </w:tblGrid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Krok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Název kroku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Stručný popis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Landing Page – root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Vstup na hlavní stránku Hostinger, výběr VPS sekce.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Výběr VPS plánu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Volba konkrétního VPS tarifu podle potřeb.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Výběr délky předplatného a košík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Nastavení doby předplatného, vložení do košíku, možnost zadání slevového kódu.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Přihlášení nebo registrace účtu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Přihlášení nebo registrace nového účtu.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Zadání fakturačních údajů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Vyplnění fakturačních a kontaktních údajů.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Výběr a potvrzení platební metody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Výběr platební metody, zadání údajů, platba přes platební bránu.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Dokončení objednávky a nastavení VPS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Nastavení parametrů VPS po úspěšné platbě.</w:t>
            </w:r>
          </w:p>
        </w:tc>
      </w:tr>
      <w:tr>
        <w:trPr/>
        <w:tc>
          <w:tcPr>
            <w:tcW w:w="578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Správa VPS v hPanelu</w:t>
            </w:r>
          </w:p>
        </w:tc>
        <w:tc>
          <w:tcPr>
            <w:tcW w:w="6771" w:type="dxa"/>
            <w:tcBorders/>
            <w:vAlign w:val="center"/>
          </w:tcPr>
          <w:p>
            <w:pPr>
              <w:pStyle w:val="Normal"/>
              <w:spacing w:before="0" w:after="200"/>
              <w:rPr>
                <w:lang w:val="cs-CZ"/>
              </w:rPr>
            </w:pPr>
            <w:r>
              <w:rPr>
                <w:lang w:val="cs-CZ"/>
              </w:rPr>
              <w:t>Správa a monitoring serveru přes uživatelský panel (hPanel)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Aptos" w:hAnsi="Aptos" w:eastAsia="Apto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Nadpis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Nadpis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Nadpis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Nadpis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Nadpis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BodyText"/>
    <w:link w:val="Nadpis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BodyText"/>
    <w:link w:val="Nadpis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BodyText"/>
    <w:link w:val="Nadpis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BodyText"/>
    <w:link w:val="Nadpis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NzevChar">
    <w:name w:val="Název Char"/>
    <w:basedOn w:val="DefaultParagraphFont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PodnadpisChar">
    <w:name w:val="Podnadpis Char"/>
    <w:basedOn w:val="DefaultParagraphFont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Nadpis1Char">
    <w:name w:val="Nadpis 1 Char"/>
    <w:basedOn w:val="DefaultParagraphFont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Nadpis2Char">
    <w:name w:val="Nadpis 2 Char"/>
    <w:basedOn w:val="DefaultParagraphFont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Nadpis3Char">
    <w:name w:val="Nadpis 3 Char"/>
    <w:basedOn w:val="DefaultParagraphFont"/>
    <w:qFormat/>
    <w:rPr>
      <w:rFonts w:eastAsia="Aptos" w:cs="Tahoma"/>
      <w:color w:themeColor="accent1" w:themeShade="bf" w:val="0F4761"/>
      <w:sz w:val="28"/>
      <w:szCs w:val="28"/>
    </w:rPr>
  </w:style>
  <w:style w:type="character" w:styleId="Nadpis4Char">
    <w:name w:val="Nadpis 4 Char"/>
    <w:basedOn w:val="DefaultParagraphFont"/>
    <w:qFormat/>
    <w:rPr>
      <w:rFonts w:eastAsia="Aptos" w:cs="Tahoma"/>
      <w:i/>
      <w:iCs/>
      <w:color w:themeColor="accent1" w:themeShade="bf" w:val="0F4761"/>
    </w:rPr>
  </w:style>
  <w:style w:type="character" w:styleId="Nadpis5Char">
    <w:name w:val="Nadpis 5 Char"/>
    <w:basedOn w:val="DefaultParagraphFont"/>
    <w:qFormat/>
    <w:rPr>
      <w:rFonts w:eastAsia="Aptos" w:cs="Tahoma"/>
      <w:color w:themeColor="accent1" w:themeShade="bf" w:val="0F4761"/>
    </w:rPr>
  </w:style>
  <w:style w:type="character" w:styleId="Nadpis6Char">
    <w:name w:val="Nadpis 6 Char"/>
    <w:basedOn w:val="DefaultParagraphFont"/>
    <w:qFormat/>
    <w:rPr>
      <w:rFonts w:eastAsia="Aptos" w:cs="Tahoma"/>
      <w:i/>
      <w:iCs/>
      <w:color w:themeColor="dark1" w:themeTint="a6" w:val="595959"/>
    </w:rPr>
  </w:style>
  <w:style w:type="character" w:styleId="Nadpis7Char">
    <w:name w:val="Nadpis 7 Char"/>
    <w:basedOn w:val="DefaultParagraphFont"/>
    <w:qFormat/>
    <w:rPr>
      <w:rFonts w:eastAsia="Aptos" w:cs="Tahoma"/>
      <w:color w:themeColor="dark1" w:themeTint="a6" w:val="595959"/>
    </w:rPr>
  </w:style>
  <w:style w:type="character" w:styleId="Nadpis8Char">
    <w:name w:val="Nadpis 8 Char"/>
    <w:basedOn w:val="DefaultParagraphFont"/>
    <w:qFormat/>
    <w:rPr>
      <w:rFonts w:eastAsia="Aptos" w:cs="Tahoma"/>
      <w:i/>
      <w:iCs/>
      <w:color w:themeColor="dark1" w:themeTint="d8" w:val="272727"/>
    </w:rPr>
  </w:style>
  <w:style w:type="character" w:styleId="Nadpis9Char">
    <w:name w:val="Nadpis 9 Char"/>
    <w:basedOn w:val="DefaultParagraphFont"/>
    <w:qFormat/>
    <w:rPr>
      <w:rFonts w:eastAsia="Aptos" w:cs="Tahoma"/>
      <w:color w:themeColor="dark1" w:themeTint="d8" w:val="272727"/>
    </w:rPr>
  </w:style>
  <w:style w:type="character" w:styleId="TitulekChar">
    <w:name w:val="Titulek Char"/>
    <w:basedOn w:val="DefaultParagraphFont"/>
    <w:qFormat/>
    <w:rPr/>
  </w:style>
  <w:style w:type="character" w:styleId="VerbatimChar">
    <w:name w:val="Verbatim Char"/>
    <w:basedOn w:val="TitulekChar"/>
    <w:link w:val="SourceCode"/>
    <w:qFormat/>
    <w:rPr>
      <w:rFonts w:ascii="Consolas" w:hAnsi="Consolas"/>
      <w:sz w:val="22"/>
    </w:rPr>
  </w:style>
  <w:style w:type="character" w:styleId="SectionNumber">
    <w:name w:val="Section Number"/>
    <w:basedOn w:val="TitulekChar"/>
    <w:qFormat/>
    <w:rPr/>
  </w:style>
  <w:style w:type="character" w:styleId="Znakypropoznmkupodarou">
    <w:name w:val="Znaky pro poznámku pod čarou"/>
    <w:basedOn w:val="Titulek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TitulekChar"/>
    <w:rPr>
      <w:color w:themeColor="accent1" w:val="156082"/>
    </w:rPr>
  </w:style>
  <w:style w:type="character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>
    <w:name w:val="ExtensionTok"/>
    <w:basedOn w:val="VerbatimChar"/>
    <w:qFormat/>
    <w:rPr>
      <w:rFonts w:ascii="Consolas" w:hAnsi="Consolas"/>
      <w:sz w:val="22"/>
    </w:rPr>
  </w:style>
  <w:style w:type="character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>
    <w:name w:val="RegionMarkerTok"/>
    <w:basedOn w:val="VerbatimChar"/>
    <w:qFormat/>
    <w:rPr>
      <w:rFonts w:ascii="Consolas" w:hAnsi="Consolas"/>
      <w:sz w:val="22"/>
    </w:rPr>
  </w:style>
  <w:style w:type="character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>
    <w:name w:val="NormalTok"/>
    <w:basedOn w:val="VerbatimChar"/>
    <w:qFormat/>
    <w:rPr>
      <w:rFonts w:ascii="Consolas" w:hAnsi="Consolas"/>
      <w:sz w:val="22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TitulekChar"/>
    <w:qFormat/>
    <w:pPr>
      <w:spacing w:before="0" w:after="120"/>
    </w:pPr>
    <w:rPr>
      <w:i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NzevChar"/>
    <w:qFormat/>
    <w:pPr>
      <w:spacing w:before="0" w:after="80"/>
      <w:contextualSpacing/>
      <w:jc w:val="center"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PodnadpisChar"/>
    <w:qFormat/>
    <w:pPr/>
    <w:rPr>
      <w:spacing w:val="15"/>
      <w:sz w:val="28"/>
      <w:szCs w:val="28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Aptos" w:hAnsi="Aptos" w:eastAsia="Aptos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Aptos" w:hAnsi="Aptos" w:eastAsia="Aptos"/>
      <w:color w:val="auto"/>
      <w:kern w:val="0"/>
      <w:sz w:val="24"/>
      <w:szCs w:val="24"/>
      <w:lang w:val="en-US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basedOn w:val="FootnoteText"/>
    <w:next w:val="FootnoteText"/>
    <w:qFormat/>
    <w:pPr>
      <w:spacing w:before="100" w:after="100"/>
      <w:ind w:left="480" w:right="480"/>
    </w:pPr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Obrzek">
    <w:name w:val="Obrázek"/>
    <w:basedOn w:val="Normal"/>
    <w:qFormat/>
    <w:pPr/>
    <w:rPr/>
  </w:style>
  <w:style w:type="paragraph" w:styleId="CaptionedFigure">
    <w:name w:val="Captioned Figure"/>
    <w:basedOn w:val="Obrzek"/>
    <w:qFormat/>
    <w:pPr>
      <w:keepNext w:val="true"/>
    </w:pPr>
    <w:rPr/>
  </w:style>
  <w:style w:type="paragraph" w:styleId="IndexHeading">
    <w:name w:val="index heading"/>
    <w:basedOn w:val="Nadpis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/>
  </w:style>
  <w:style w:type="paragraph" w:styleId="SourceCode">
    <w:name w:val="Source Code"/>
    <w:basedOn w:val="Normal"/>
    <w:link w:val="VerbatimChar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numbering" w:styleId="Bezseznamu">
    <w:name w:val="Bez seznamu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vps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3000/paymen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localhost:3000/middleware-payment-modules" TargetMode="External"/><Relationship Id="rId9" Type="http://schemas.openxmlformats.org/officeDocument/2006/relationships/hyperlink" Target="http://localhost:3000/real-payment-flow-test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LibreOffice/25.2.4.3$Windows_X86_64 LibreOffice_project/33e196637044ead23f5c3226cde09b47731f7e27</Application>
  <AppVersion>15.0000</AppVersion>
  <Pages>7</Pages>
  <Words>439</Words>
  <Characters>2723</Characters>
  <CharactersWithSpaces>3080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2025-08-01T21:09:00Z</dcterms:created>
  <dc:creator>Ales Ales</dc:creator>
  <dc:description/>
  <dc:language>cs-CZ</dc:language>
  <cp:lastModifiedBy/>
  <dcterms:modified xsi:type="dcterms:W3CDTF">2025-08-01T23:34:17Z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