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project is an attempt to compare two basic strategies, RSI and Stochastic Oscillator. For background, RSI is a momentum indicator that takes into account both the speed and magnitude of direction changes in the price of a security. </w:t>
      </w:r>
      <w:r w:rsidDel="00000000" w:rsidR="00000000" w:rsidRPr="00000000">
        <w:rPr>
          <w:rFonts w:ascii="Times New Roman" w:cs="Times New Roman" w:eastAsia="Times New Roman" w:hAnsi="Times New Roman"/>
          <w:sz w:val="24"/>
          <w:szCs w:val="24"/>
          <w:rtl w:val="0"/>
        </w:rPr>
        <w:t xml:space="preserve">Momentum indicator showing the speed and volume of recent trading of a stock. This indicator seeks to determine when a stock is overbought or oversold, on a scale of 0 to 100. Traditionally, a number below 30 indicates oversold, and a number over 70 indicates overbought. On the other hand, a Stochastic Oscillator is a different style of indicator that focuses on the price of an asset relative to the trailing 14 days, using the highest and lowest closing values, comparing it to its current price. We used randomly selected SP500 companies, sorted into strata by beta. We then performed both strategies on each stock going back two years. Using the CAPM model, we calculated expected returns. Then, using QuantConnect backtesting software, we got our actual results. We then compared both strategies. Our results showed that traditional oscillation strategies performed better, and that RSI performed worse. We calculated both total % returns as well as key metrics such as Sharpe, Drawdown, and Profit Factor. After finding out that Stochastics worked better, we tried to optimize the strategies by adjusting their bands. By adjusting RSI bands for Beta, making them smaller at lower Betas and wider at higher Betas, ​we attempted to smooth out volatility and liquidity. In adjusting, we found that RSI indicators improved at the extremes in the sample. However, Stochastics still performed better under almost all Beta groups, except for exceptionally volatile stocks. Further research must be done into the use of leverage, short positions, different/more complex strategies, etc. We were able to show which Beta bands performed better under which strategy, as well as how to optimize certain strategies for higher returns.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