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6D6E1" w14:textId="77777777" w:rsidR="009D4DAB" w:rsidRDefault="00917637" w:rsidP="00917637">
      <w:pPr>
        <w:rPr>
          <w:b/>
          <w:bCs/>
        </w:rPr>
      </w:pPr>
      <w:r w:rsidRPr="00917637">
        <w:t xml:space="preserve">Research </w:t>
      </w:r>
      <w:r w:rsidR="00D112B9">
        <w:t>Hypothesis</w:t>
      </w:r>
      <w:r w:rsidRPr="00917637">
        <w:t>:</w:t>
      </w:r>
      <w:r w:rsidRPr="00917637">
        <w:br/>
      </w:r>
      <w:r w:rsidRPr="00D112B9">
        <w:rPr>
          <w:b/>
          <w:bCs/>
        </w:rPr>
        <w:t>Because of its inherent risk, we believe that the volatility of AI tech stocks will make them a more compelling short-term investment.</w:t>
      </w:r>
    </w:p>
    <w:p w14:paraId="12A649D5" w14:textId="7D0B89D1" w:rsidR="009D4DAB" w:rsidRDefault="00917637" w:rsidP="00917637">
      <w:r w:rsidRPr="00917637">
        <w:br/>
      </w:r>
      <w:r>
        <w:tab/>
        <w:t>B</w:t>
      </w:r>
      <w:r w:rsidRPr="00917637">
        <w:t xml:space="preserve">eta (β) is a key financial metric of a stock or portfolio's volatility, or systematic risk, relative to </w:t>
      </w:r>
      <w:r w:rsidR="00BE3F92">
        <w:t>a chosen market of comparison, in this case the NASDAQ</w:t>
      </w:r>
      <w:r w:rsidR="005B1E0F">
        <w:t xml:space="preserve">100 usually set at 1.0. </w:t>
      </w:r>
      <w:r w:rsidRPr="00917637">
        <w:t>A beta above 1.0 signifies a stock is more volatile than the market, and a beta below 1.0 is less volatile. Beta helps investors to approximate the amount by which a stock is likely to enlarge or shrink market movements, and is widely used in risk analysis</w:t>
      </w:r>
      <w:r w:rsidR="005B1E0F">
        <w:t>.</w:t>
      </w:r>
    </w:p>
    <w:p w14:paraId="7F0B9E11" w14:textId="77777777" w:rsidR="009D4DAB" w:rsidRDefault="00917637" w:rsidP="009D4DAB">
      <w:pPr>
        <w:ind w:firstLine="720"/>
        <w:rPr>
          <w:b/>
          <w:bCs/>
        </w:rPr>
      </w:pPr>
      <w:r>
        <w:t xml:space="preserve">Beta can be used with a variety of models and financial strategies like </w:t>
      </w:r>
      <w:r w:rsidRPr="00917637">
        <w:t xml:space="preserve">CAPM </w:t>
      </w:r>
      <w:r w:rsidR="00E61207">
        <w:t xml:space="preserve">which </w:t>
      </w:r>
      <w:r w:rsidRPr="00917637">
        <w:t>is utilized to reach a</w:t>
      </w:r>
      <w:r w:rsidR="00AB022C">
        <w:t xml:space="preserve"> certain</w:t>
      </w:r>
      <w:r w:rsidRPr="00917637">
        <w:t xml:space="preserve"> rate of return, guiding investment and portfolio decisions by quantifying the risk</w:t>
      </w:r>
      <w:r w:rsidR="00AB022C">
        <w:t>-to</w:t>
      </w:r>
      <w:r w:rsidRPr="00917637">
        <w:t>-return trade-off.</w:t>
      </w:r>
      <w:r>
        <w:t xml:space="preserve"> </w:t>
      </w:r>
      <w:r w:rsidRPr="00917637">
        <w:t xml:space="preserve">Beta can </w:t>
      </w:r>
      <w:r>
        <w:t xml:space="preserve">also </w:t>
      </w:r>
      <w:r w:rsidRPr="00917637">
        <w:t>be utilized for constructing hedging strategies that manage portfolio risk</w:t>
      </w:r>
      <w:r w:rsidR="006679FB">
        <w:t xml:space="preserve"> like</w:t>
      </w:r>
      <w:r w:rsidRPr="00917637">
        <w:t> long or short beta hedging by taking a position in assets with lower or higher betas to hedge market risk. This offers risk</w:t>
      </w:r>
      <w:r w:rsidR="00137F6F">
        <w:t xml:space="preserve"> re</w:t>
      </w:r>
      <w:r w:rsidRPr="00917637">
        <w:t>duction</w:t>
      </w:r>
      <w:r w:rsidR="009D4DAB">
        <w:t xml:space="preserve"> </w:t>
      </w:r>
      <w:r w:rsidRPr="00917637">
        <w:t>with</w:t>
      </w:r>
      <w:r w:rsidR="009D4DAB">
        <w:t xml:space="preserve"> </w:t>
      </w:r>
      <w:r w:rsidRPr="00917637">
        <w:t>intended</w:t>
      </w:r>
      <w:r w:rsidR="009D4DAB">
        <w:t xml:space="preserve"> </w:t>
      </w:r>
      <w:r w:rsidRPr="00917637">
        <w:t>market exposure.</w:t>
      </w:r>
      <w:r w:rsidR="003316F8">
        <w:t xml:space="preserve"> </w:t>
      </w:r>
    </w:p>
    <w:p w14:paraId="5B651F94" w14:textId="7BBBE44A" w:rsidR="003316F8" w:rsidRPr="009D4DAB" w:rsidRDefault="00917637" w:rsidP="009D4DAB">
      <w:pPr>
        <w:ind w:firstLine="720"/>
        <w:rPr>
          <w:b/>
          <w:bCs/>
        </w:rPr>
      </w:pPr>
      <w:r w:rsidRPr="00917637">
        <w:t>The artificial intelligence technology sector is seeing higher volatility due to rapid innovation and intense competition as new entrants are challenging </w:t>
      </w:r>
      <w:r w:rsidR="00AB022C">
        <w:t>the industry</w:t>
      </w:r>
      <w:r w:rsidR="00AB022C" w:rsidRPr="00917637">
        <w:t xml:space="preserve"> </w:t>
      </w:r>
      <w:r w:rsidRPr="00917637">
        <w:t>with cost-effective solutions. This kind of environment creates high share price volatility as companies, along with investors, react to altering capital expenditure plans and market sentiment.</w:t>
      </w:r>
      <w:r w:rsidR="003316F8">
        <w:t xml:space="preserve"> </w:t>
      </w:r>
      <w:r w:rsidRPr="00917637">
        <w:t xml:space="preserve">The increased volatility (and thus higher beta) </w:t>
      </w:r>
      <w:r w:rsidR="00D0606C">
        <w:t>of</w:t>
      </w:r>
      <w:r w:rsidR="009D4DAB">
        <w:t xml:space="preserve"> </w:t>
      </w:r>
      <w:r w:rsidRPr="00917637">
        <w:t>AI</w:t>
      </w:r>
      <w:r w:rsidR="009D4DAB">
        <w:t xml:space="preserve"> </w:t>
      </w:r>
      <w:r w:rsidRPr="00917637">
        <w:t>technology</w:t>
      </w:r>
      <w:r w:rsidR="009D4DAB">
        <w:t xml:space="preserve"> </w:t>
      </w:r>
      <w:r w:rsidRPr="00917637">
        <w:t>stocks</w:t>
      </w:r>
      <w:r w:rsidR="009D4DAB">
        <w:t xml:space="preserve"> </w:t>
      </w:r>
      <w:r w:rsidRPr="00917637">
        <w:t>offers</w:t>
      </w:r>
      <w:r w:rsidR="009D4DAB">
        <w:t xml:space="preserve"> </w:t>
      </w:r>
      <w:r w:rsidRPr="00917637">
        <w:t>opportunities</w:t>
      </w:r>
      <w:r w:rsidR="009D4DAB">
        <w:t xml:space="preserve"> </w:t>
      </w:r>
      <w:r w:rsidRPr="00917637">
        <w:t>for short-term investors. These stocks will react more intensely to market movements, offering the possibility of higher short-term gains-at higher risk. Market reactions to competitive disruption, i.e., new AI entrants, can lead to sudden price movements that can be taken advantage of by agile investors.</w:t>
      </w:r>
    </w:p>
    <w:p w14:paraId="5169CF13" w14:textId="3FAA1016" w:rsidR="0085169F" w:rsidRPr="00917637" w:rsidRDefault="00917637" w:rsidP="003316F8">
      <w:pPr>
        <w:ind w:firstLine="720"/>
      </w:pPr>
      <w:r w:rsidRPr="00917637">
        <w:t>Our research supports the theory that the inherent volatility of AI tech stocks</w:t>
      </w:r>
      <w:r w:rsidR="00137F6F">
        <w:t xml:space="preserve">, </w:t>
      </w:r>
      <w:r w:rsidRPr="00917637">
        <w:t>as indicated by the greater beta values</w:t>
      </w:r>
      <w:r w:rsidR="00137F6F">
        <w:t xml:space="preserve">, </w:t>
      </w:r>
      <w:r w:rsidRPr="00917637">
        <w:t xml:space="preserve">suits them to short-term investment strategies. Beta provides </w:t>
      </w:r>
      <w:r w:rsidR="00137F6F" w:rsidRPr="00917637">
        <w:t>a basis</w:t>
      </w:r>
      <w:r w:rsidRPr="00917637">
        <w:t> to measure and control this risk, especially if paired with models like CAPM and hedging options that can further tailor risk exposure. While the volatility of the industry poses higher risk, it also offers the potential for outsized short-term return, particularly with the ongoing fast development of the AI sector. Investors who</w:t>
      </w:r>
      <w:r w:rsidR="009D4DAB">
        <w:t xml:space="preserve"> </w:t>
      </w:r>
      <w:r w:rsidRPr="00917637">
        <w:t>understand</w:t>
      </w:r>
      <w:r w:rsidR="009D4DAB">
        <w:t xml:space="preserve"> h</w:t>
      </w:r>
      <w:r w:rsidRPr="00917637">
        <w:t>ow to work beta in their favor are better positioned to capitalize on short-term opportunity while minimizing downside risk.</w:t>
      </w:r>
      <w:r w:rsidRPr="00917637">
        <w:br/>
      </w:r>
    </w:p>
    <w:sectPr w:rsidR="0085169F" w:rsidRPr="00917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8D"/>
    <w:rsid w:val="00137F6F"/>
    <w:rsid w:val="002230AE"/>
    <w:rsid w:val="003316F8"/>
    <w:rsid w:val="005B1E0F"/>
    <w:rsid w:val="006679FB"/>
    <w:rsid w:val="00732A8D"/>
    <w:rsid w:val="0085169F"/>
    <w:rsid w:val="008B076B"/>
    <w:rsid w:val="00917637"/>
    <w:rsid w:val="009D4DAB"/>
    <w:rsid w:val="00AB022C"/>
    <w:rsid w:val="00BE3F92"/>
    <w:rsid w:val="00D0606C"/>
    <w:rsid w:val="00D112B9"/>
    <w:rsid w:val="00D14BA2"/>
    <w:rsid w:val="00E61207"/>
    <w:rsid w:val="00ED70ED"/>
    <w:rsid w:val="00FF7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0B685E"/>
  <w15:chartTrackingRefBased/>
  <w15:docId w15:val="{A5CDE3E0-CA9F-7349-960D-123EC0AC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A8D"/>
    <w:rPr>
      <w:rFonts w:eastAsiaTheme="majorEastAsia" w:cstheme="majorBidi"/>
      <w:color w:val="272727" w:themeColor="text1" w:themeTint="D8"/>
    </w:rPr>
  </w:style>
  <w:style w:type="paragraph" w:styleId="Title">
    <w:name w:val="Title"/>
    <w:basedOn w:val="Normal"/>
    <w:next w:val="Normal"/>
    <w:link w:val="TitleChar"/>
    <w:uiPriority w:val="10"/>
    <w:qFormat/>
    <w:rsid w:val="0073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A8D"/>
    <w:pPr>
      <w:spacing w:before="160"/>
      <w:jc w:val="center"/>
    </w:pPr>
    <w:rPr>
      <w:i/>
      <w:iCs/>
      <w:color w:val="404040" w:themeColor="text1" w:themeTint="BF"/>
    </w:rPr>
  </w:style>
  <w:style w:type="character" w:customStyle="1" w:styleId="QuoteChar">
    <w:name w:val="Quote Char"/>
    <w:basedOn w:val="DefaultParagraphFont"/>
    <w:link w:val="Quote"/>
    <w:uiPriority w:val="29"/>
    <w:rsid w:val="00732A8D"/>
    <w:rPr>
      <w:i/>
      <w:iCs/>
      <w:color w:val="404040" w:themeColor="text1" w:themeTint="BF"/>
    </w:rPr>
  </w:style>
  <w:style w:type="paragraph" w:styleId="ListParagraph">
    <w:name w:val="List Paragraph"/>
    <w:basedOn w:val="Normal"/>
    <w:uiPriority w:val="34"/>
    <w:qFormat/>
    <w:rsid w:val="00732A8D"/>
    <w:pPr>
      <w:ind w:left="720"/>
      <w:contextualSpacing/>
    </w:pPr>
  </w:style>
  <w:style w:type="character" w:styleId="IntenseEmphasis">
    <w:name w:val="Intense Emphasis"/>
    <w:basedOn w:val="DefaultParagraphFont"/>
    <w:uiPriority w:val="21"/>
    <w:qFormat/>
    <w:rsid w:val="00732A8D"/>
    <w:rPr>
      <w:i/>
      <w:iCs/>
      <w:color w:val="0F4761" w:themeColor="accent1" w:themeShade="BF"/>
    </w:rPr>
  </w:style>
  <w:style w:type="paragraph" w:styleId="IntenseQuote">
    <w:name w:val="Intense Quote"/>
    <w:basedOn w:val="Normal"/>
    <w:next w:val="Normal"/>
    <w:link w:val="IntenseQuoteChar"/>
    <w:uiPriority w:val="30"/>
    <w:qFormat/>
    <w:rsid w:val="0073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A8D"/>
    <w:rPr>
      <w:i/>
      <w:iCs/>
      <w:color w:val="0F4761" w:themeColor="accent1" w:themeShade="BF"/>
    </w:rPr>
  </w:style>
  <w:style w:type="character" w:styleId="IntenseReference">
    <w:name w:val="Intense Reference"/>
    <w:basedOn w:val="DefaultParagraphFont"/>
    <w:uiPriority w:val="32"/>
    <w:qFormat/>
    <w:rsid w:val="00732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Eun</dc:creator>
  <cp:keywords/>
  <dc:description/>
  <cp:lastModifiedBy>Morgan Eun</cp:lastModifiedBy>
  <cp:revision>14</cp:revision>
  <dcterms:created xsi:type="dcterms:W3CDTF">2025-04-30T03:44:00Z</dcterms:created>
  <dcterms:modified xsi:type="dcterms:W3CDTF">2025-04-30T04:15:00Z</dcterms:modified>
</cp:coreProperties>
</file>