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2B176E"/>
            <w:tcMar>
              <w:top w:w="450" w:type="dxa"/>
              <w:start w:w="400" w:type="dxa"/>
              <w:bottom w:w="450" w:type="dxa"/>
              <w:end w:w="400" w:type="dxa"/>
            </w:tcMar>
          </w:tcPr>
          <w:p>
            <w:pPr>
              <w:jc w:val="left"/>
            </w:pPr>
            <w:r>
              <w:rPr>
                <w:rFonts w:ascii="Liberation Sans" w:hAnsi="Liberation Sans" w:eastAsia="Liberation Sans"/>
                <w:b/>
                <w:i w:val="0"/>
                <w:color w:val="FFFFFF"/>
                <w:sz w:val="26"/>
              </w:rPr>
              <w:t>UNIVERS MAKOLO</w:t>
            </w:r>
          </w:p>
          <w:p>
            <w:pPr>
              <w:keepNext w:val="0"/>
              <w:spacing w:before="200" w:after="160" w:line="240" w:lineRule="auto"/>
            </w:pPr>
            <w:r>
              <w:rPr>
                <w:rFonts w:ascii="Liberation Sans" w:hAnsi="Liberation Sans" w:eastAsia="Liberation Sans"/>
                <w:b/>
                <w:i w:val="0"/>
                <w:color w:val="FFFFFF"/>
                <w:sz w:val="50"/>
              </w:rPr>
              <w:t>Préparation mathématique de la géométrie commune de localisation</w:t>
            </w:r>
          </w:p>
          <w:p>
            <w:pPr>
              <w:keepNext w:val="0"/>
              <w:spacing w:before="0" w:after="0" w:line="252" w:lineRule="auto"/>
            </w:pPr>
            <w:r>
              <w:rPr>
                <w:rFonts w:ascii="Liberation Sans" w:hAnsi="Liberation Sans" w:eastAsia="Liberation Sans"/>
                <w:b w:val="0"/>
                <w:i w:val="0"/>
                <w:color w:val="DDD6FE"/>
                <w:sz w:val="24"/>
              </w:rPr>
              <w:t>Socle consolidé avant la détermination de la loi de poids élémentaire W</w:t>
            </w:r>
          </w:p>
        </w:tc>
      </w:tr>
    </w:tbl>
    <w:p>
      <w:pPr>
        <w:spacing w:after="280"/>
      </w:pPr>
    </w:p>
    <w:tbl>
      <w:tblPr>
        <w:tblW w:type="auto" w:w="0"/>
        <w:jc w:val="center"/>
        <w:tblLayout w:type="autofit"/>
        <w:tblLook w:firstColumn="1" w:firstRow="1" w:lastColumn="0" w:lastRow="0" w:noHBand="0" w:noVBand="1" w:val="04A0"/>
      </w:tblPr>
      <w:tblGrid>
        <w:gridCol w:w="9994"/>
      </w:tblGrid>
      <w:tr>
        <w:tc>
          <w:tcPr>
            <w:tcW w:type="dxa" w:w="9994"/>
            <w:shd w:fill="ECFDF5"/>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047857"/>
                <w:sz w:val="21"/>
              </w:rPr>
              <w:t>Statut du document</w:t>
            </w:r>
          </w:p>
          <w:p>
            <w:pPr>
              <w:keepNext w:val="0"/>
              <w:spacing w:before="0" w:after="0" w:line="271" w:lineRule="auto"/>
            </w:pPr>
            <w:r>
              <w:rPr>
                <w:rFonts w:ascii="Liberation Sans" w:hAnsi="Liberation Sans" w:eastAsia="Liberation Sans"/>
                <w:b w:val="0"/>
                <w:i w:val="0"/>
                <w:color w:val="0F172A"/>
                <w:sz w:val="20"/>
              </w:rPr>
              <w:t>Préparation consolidée. Les coordonnées, l’espace des positions, la relocalisation libre et les axiomes minimaux de W sont séparés de toute notion ultérieure de longueur ou de distance.</w:t>
            </w:r>
          </w:p>
        </w:tc>
      </w:tr>
    </w:tbl>
    <w:p>
      <w:pPr>
        <w:spacing w:after="20"/>
      </w:pPr>
    </w:p>
    <w:p>
      <w:pPr>
        <w:keepNext w:val="0"/>
        <w:spacing w:before="200" w:after="60" w:line="276" w:lineRule="auto"/>
      </w:pPr>
      <w:r>
        <w:rPr>
          <w:rFonts w:ascii="Liberation Sans" w:hAnsi="Liberation Sans" w:eastAsia="Liberation Sans"/>
          <w:b/>
          <w:i w:val="0"/>
          <w:color w:val="2B176E"/>
          <w:sz w:val="19"/>
        </w:rPr>
        <w:t>Date de consolidation</w:t>
      </w:r>
      <w:r>
        <w:rPr>
          <w:rFonts w:ascii="Liberation Sans" w:hAnsi="Liberation Sans" w:eastAsia="Liberation Sans"/>
          <w:b w:val="0"/>
          <w:i w:val="0"/>
          <w:color w:val="0F172A"/>
          <w:sz w:val="19"/>
        </w:rPr>
        <w:t xml:space="preserve">  16 septembre 2026</w:t>
      </w:r>
    </w:p>
    <w:p>
      <w:pPr>
        <w:keepNext w:val="0"/>
        <w:spacing w:before="0" w:after="60" w:line="276" w:lineRule="auto"/>
      </w:pPr>
      <w:r>
        <w:rPr>
          <w:rFonts w:ascii="Liberation Sans" w:hAnsi="Liberation Sans" w:eastAsia="Liberation Sans"/>
          <w:b/>
          <w:i w:val="0"/>
          <w:color w:val="2B176E"/>
          <w:sz w:val="19"/>
        </w:rPr>
        <w:t>Position complète de travail</w:t>
      </w:r>
      <w:r>
        <w:rPr>
          <w:rFonts w:ascii="DejaVu Serif" w:hAnsi="DejaVu Serif" w:eastAsia="DejaVu Serif"/>
          <w:b w:val="0"/>
          <w:i w:val="0"/>
          <w:color w:val="0F172A"/>
          <w:sz w:val="20"/>
        </w:rPr>
        <w:t xml:space="preserve">  P = (λ, φ, ψ)</w:t>
      </w:r>
    </w:p>
    <w:p>
      <w:pPr>
        <w:keepNext w:val="0"/>
        <w:spacing w:before="0" w:after="60" w:line="276" w:lineRule="auto"/>
      </w:pPr>
      <w:r>
        <w:rPr>
          <w:rFonts w:ascii="Liberation Sans" w:hAnsi="Liberation Sans" w:eastAsia="Liberation Sans"/>
          <w:b/>
          <w:i w:val="0"/>
          <w:color w:val="2B176E"/>
          <w:sz w:val="19"/>
        </w:rPr>
        <w:t>Principe directeur</w:t>
      </w:r>
      <w:r>
        <w:rPr>
          <w:rFonts w:ascii="Liberation Sans" w:hAnsi="Liberation Sans" w:eastAsia="Liberation Sans"/>
          <w:b w:val="0"/>
          <w:i w:val="0"/>
          <w:color w:val="0F172A"/>
          <w:sz w:val="19"/>
        </w:rPr>
        <w:t xml:space="preserve">  construction des coordonnées ≠ utilisation des coordonnées ≠ mouvement ≠ distance</w:t>
      </w:r>
    </w:p>
    <w:p>
      <w:r>
        <w:br w:type="page"/>
      </w:r>
    </w:p>
    <w:p>
      <w:pPr>
        <w:pStyle w:val="Heading1"/>
        <w:keepNext/>
        <w:spacing w:before="160" w:after="80" w:line="252" w:lineRule="auto"/>
      </w:pPr>
      <w:r>
        <w:rPr>
          <w:rFonts w:ascii="Liberation Sans" w:hAnsi="Liberation Sans" w:eastAsia="Liberation Sans"/>
          <w:b/>
          <w:i w:val="0"/>
          <w:color w:val="2B176E"/>
          <w:sz w:val="34"/>
        </w:rPr>
        <w:t>0. Synthèse exécutive</w:t>
      </w:r>
    </w:p>
    <w:p>
      <w:pPr>
        <w:keepNext w:val="0"/>
        <w:spacing w:before="0" w:after="120" w:line="281" w:lineRule="auto"/>
      </w:pPr>
      <w:r>
        <w:rPr>
          <w:rFonts w:ascii="Liberation Sans" w:hAnsi="Liberation Sans" w:eastAsia="Liberation Sans"/>
          <w:b w:val="0"/>
          <w:i w:val="0"/>
          <w:color w:val="0F172A"/>
          <w:sz w:val="21"/>
        </w:rPr>
        <w:t>Le travail préparatoire a permis de dissocier des notions qui avaient été mélangées : la construction des coordonnées, leur valeur utilisée dans l’espace Makolo, la transition entre deux positions, le poids élémentaire d’un saut, puis seulement plus tard la longueur et la distance. La géométrie commune n’est donc pas obtenue en additionnant les anciennes géométries géographique et logique ; elle doit être construite directement sur trois coordonnées de position : λ, φ et ψ.</w:t>
      </w:r>
    </w:p>
    <w:p>
      <w:pPr>
        <w:keepNext w:val="0"/>
        <w:spacing w:before="80" w:after="80" w:line="240" w:lineRule="auto"/>
        <w:jc w:val="center"/>
      </w:pPr>
      <w:r>
        <w:rPr>
          <w:rFonts w:ascii="DejaVu Serif" w:hAnsi="DejaVu Serif" w:eastAsia="DejaVu Serif"/>
          <w:b/>
          <w:i w:val="0"/>
          <w:color w:val="2B176E"/>
          <w:sz w:val="25"/>
        </w:rPr>
        <w:t>P = (λ, φ, ψ)</w:t>
      </w:r>
    </w:p>
    <w:p>
      <w:pPr>
        <w:keepNext w:val="0"/>
        <w:spacing w:before="0" w:after="120" w:line="281" w:lineRule="auto"/>
      </w:pPr>
      <w:r>
        <w:rPr>
          <w:rFonts w:ascii="Liberation Sans" w:hAnsi="Liberation Sans" w:eastAsia="Liberation Sans"/>
          <w:b w:val="0"/>
          <w:i w:val="0"/>
          <w:color w:val="0F172A"/>
          <w:sz w:val="21"/>
        </w:rPr>
        <w:t>Les trois coordonnées sont numériques, mais cela ne transforme pas automatiquement l’espace en R³ euclidien. Les valeurs intermédiaires peuvent exister dans les domaines de coordonnées sans devoir être occupées lors d’un changement de position. Le mouvement primitif est un saut P → Q.</w:t>
      </w:r>
    </w:p>
    <w:tbl>
      <w:tblPr>
        <w:tblW w:type="auto" w:w="0"/>
        <w:jc w:val="center"/>
        <w:tblLayout w:type="autofit"/>
        <w:tblLook w:firstColumn="1" w:firstRow="1" w:lastColumn="0" w:lastRow="0" w:noHBand="0" w:noVBand="1" w:val="04A0"/>
      </w:tblPr>
      <w:tblGrid>
        <w:gridCol w:w="9994"/>
      </w:tblGrid>
      <w:tr>
        <w:tc>
          <w:tcPr>
            <w:tcW w:type="dxa" w:w="9994"/>
            <w:shd w:fill="EEE9FF"/>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2B176E"/>
                <w:sz w:val="21"/>
              </w:rPr>
              <w:t>Point de fermeture de la préparation</w:t>
            </w:r>
          </w:p>
          <w:p>
            <w:pPr>
              <w:keepNext w:val="0"/>
              <w:spacing w:before="0" w:after="0" w:line="271" w:lineRule="auto"/>
            </w:pPr>
            <w:r>
              <w:rPr>
                <w:rFonts w:ascii="Liberation Sans" w:hAnsi="Liberation Sans" w:eastAsia="Liberation Sans"/>
                <w:b w:val="0"/>
                <w:i w:val="0"/>
                <w:color w:val="0F172A"/>
                <w:sz w:val="20"/>
              </w:rPr>
              <w:t>Tout ce qui suit est établi avant de chercher une formule numérique pour W. Aucune distance Makolo n’est encore définie.</w:t>
            </w:r>
          </w:p>
        </w:tc>
      </w:tr>
    </w:tbl>
    <w:p>
      <w:pPr>
        <w:spacing w:after="20"/>
      </w:pPr>
    </w:p>
    <w:p>
      <w:pPr>
        <w:pStyle w:val="Heading2"/>
        <w:keepNext/>
        <w:spacing w:before="100" w:after="80" w:line="252" w:lineRule="auto"/>
      </w:pPr>
      <w:r>
        <w:rPr>
          <w:rFonts w:ascii="Liberation Sans" w:hAnsi="Liberation Sans" w:eastAsia="Liberation Sans"/>
          <w:b/>
          <w:i w:val="0"/>
          <w:color w:val="5232DB"/>
          <w:sz w:val="26"/>
        </w:rPr>
        <w:t>0.1. Ordre méthodologique retenu</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080"/>
            <w:shd w:fill="EEE9FF"/>
            <w:tcMar>
              <w:top w:w="100" w:type="dxa"/>
              <w:start w:w="110" w:type="dxa"/>
              <w:bottom w:w="100" w:type="dxa"/>
              <w:end w:w="110" w:type="dxa"/>
            </w:tcMar>
          </w:tcPr>
          <w:p>
            <w:pPr>
              <w:keepNext w:val="0"/>
              <w:spacing w:before="0" w:after="0" w:line="240" w:lineRule="auto"/>
              <w:jc w:val="center"/>
            </w:pPr>
            <w:r>
              <w:rPr>
                <w:rFonts w:ascii="Liberation Sans" w:hAnsi="Liberation Sans" w:eastAsia="Liberation Sans"/>
                <w:b/>
                <w:i w:val="0"/>
                <w:color w:val="2B176E"/>
                <w:sz w:val="18"/>
              </w:rPr>
              <w:t>Étape</w:t>
            </w:r>
          </w:p>
        </w:tc>
        <w:tc>
          <w:tcPr>
            <w:tcW w:type="dxa" w:w="8568"/>
            <w:shd w:fill="EEE9FF"/>
            <w:tcMar>
              <w:top w:w="100" w:type="dxa"/>
              <w:start w:w="110" w:type="dxa"/>
              <w:bottom w:w="100" w:type="dxa"/>
              <w:end w:w="110" w:type="dxa"/>
            </w:tcMar>
          </w:tcPr>
          <w:p>
            <w:pPr>
              <w:keepNext w:val="0"/>
              <w:spacing w:before="0" w:after="0" w:line="240" w:lineRule="auto"/>
              <w:jc w:val="center"/>
            </w:pPr>
            <w:r>
              <w:rPr>
                <w:rFonts w:ascii="Liberation Sans" w:hAnsi="Liberation Sans" w:eastAsia="Liberation Sans"/>
                <w:b/>
                <w:i w:val="0"/>
                <w:color w:val="2B176E"/>
                <w:sz w:val="18"/>
              </w:rPr>
              <w:t>Objet</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1</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Construire / canonicaliser les coordonnées λ, φ, ψ.</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2</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Former une position P = (λ, φ, ψ).</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3</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Définir la possibilité de transition P → Q.</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4</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Décrire le changement de coordonnées sans en faire une distance.</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5</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Attribuer éventuellement un poids élémentaire W(P,Q).</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6</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Construire plus tard une longueur de trajectoire, si utile.</w:t>
            </w:r>
          </w:p>
        </w:tc>
      </w:tr>
      <w:tr>
        <w:tc>
          <w:tcPr>
            <w:tcW w:type="dxa" w:w="10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7</w:t>
            </w:r>
          </w:p>
        </w:tc>
        <w:tc>
          <w:tcPr>
            <w:tcW w:type="dxa" w:w="8568"/>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Définir seulement ensuite une distance, si elle émerge du modèle.</w:t>
            </w:r>
          </w:p>
        </w:tc>
      </w:tr>
    </w:tbl>
    <w:p>
      <w:pPr>
        <w:spacing w:after="60"/>
      </w:pPr>
    </w:p>
    <w:p>
      <w:r>
        <w:br w:type="page"/>
      </w:r>
    </w:p>
    <w:p>
      <w:pPr>
        <w:pStyle w:val="Heading1"/>
        <w:keepNext/>
        <w:spacing w:before="160" w:after="80" w:line="252" w:lineRule="auto"/>
      </w:pPr>
      <w:r>
        <w:rPr>
          <w:rFonts w:ascii="Liberation Sans" w:hAnsi="Liberation Sans" w:eastAsia="Liberation Sans"/>
          <w:b/>
          <w:i w:val="0"/>
          <w:color w:val="2B176E"/>
          <w:sz w:val="34"/>
        </w:rPr>
        <w:t>1. Principe fondamental : construction ≠ utilisation</w:t>
      </w:r>
    </w:p>
    <w:p>
      <w:pPr>
        <w:keepNext w:val="0"/>
        <w:spacing w:before="0" w:after="120" w:line="281" w:lineRule="auto"/>
      </w:pPr>
      <w:r>
        <w:rPr>
          <w:rFonts w:ascii="Liberation Sans" w:hAnsi="Liberation Sans" w:eastAsia="Liberation Sans"/>
          <w:b w:val="0"/>
          <w:i w:val="0"/>
          <w:color w:val="0F172A"/>
          <w:sz w:val="21"/>
        </w:rPr>
        <w:t>Une coordonnée peut avoir une théorie de construction riche sans que cette théorie doive être rejouée chaque fois que la coordonnée est utilisée. C’est déjà le cas de la géographie : WGS84 permet de définir λ et φ, mais une position n’emporte pas avec elle tout le calcul géodésique. Le même principe est adopté pour ψ.</w:t>
      </w:r>
    </w:p>
    <w:p>
      <w:pPr>
        <w:pStyle w:val="Heading2"/>
        <w:keepNext/>
        <w:spacing w:before="100" w:after="80" w:line="252" w:lineRule="auto"/>
      </w:pPr>
      <w:r>
        <w:rPr>
          <w:rFonts w:ascii="Liberation Sans" w:hAnsi="Liberation Sans" w:eastAsia="Liberation Sans"/>
          <w:b/>
          <w:i w:val="0"/>
          <w:color w:val="5232DB"/>
          <w:sz w:val="26"/>
        </w:rPr>
        <w:t>1.1. Couche de construction géographique</w:t>
      </w:r>
    </w:p>
    <w:p>
      <w:pPr>
        <w:keepNext w:val="0"/>
        <w:spacing w:before="0" w:after="120" w:line="281" w:lineRule="auto"/>
      </w:pPr>
      <w:r>
        <w:rPr>
          <w:rFonts w:ascii="Liberation Sans" w:hAnsi="Liberation Sans" w:eastAsia="Liberation Sans"/>
          <w:b w:val="0"/>
          <w:i w:val="0"/>
          <w:color w:val="0F172A"/>
          <w:sz w:val="21"/>
        </w:rPr>
        <w:t>La géométrie de référence retenue pour la construction de longitude et latitude est l’ellipsoïde WGS84. Dans les coordonnées géodésiques λ et φ, l’élément de longueur local est :</w:t>
      </w:r>
    </w:p>
    <w:p>
      <w:pPr>
        <w:keepNext w:val="0"/>
        <w:spacing w:before="80" w:after="80" w:line="240" w:lineRule="auto"/>
        <w:jc w:val="center"/>
      </w:pPr>
      <w:r>
        <w:rPr>
          <w:rFonts w:ascii="DejaVu Serif" w:hAnsi="DejaVu Serif" w:eastAsia="DejaVu Serif"/>
          <w:b/>
          <w:i w:val="0"/>
          <w:color w:val="2B176E"/>
          <w:sz w:val="25"/>
        </w:rPr>
        <w:t>ds_G² = M(φ)² dφ² + N(φ)² cos²(φ) dλ²</w:t>
      </w:r>
    </w:p>
    <w:p>
      <w:pPr>
        <w:keepNext w:val="0"/>
        <w:spacing w:before="80" w:after="80" w:line="240" w:lineRule="auto"/>
        <w:jc w:val="center"/>
      </w:pPr>
      <w:r>
        <w:rPr>
          <w:rFonts w:ascii="DejaVu Serif" w:hAnsi="DejaVu Serif" w:eastAsia="DejaVu Serif"/>
          <w:b/>
          <w:i w:val="0"/>
          <w:color w:val="2B176E"/>
          <w:sz w:val="25"/>
        </w:rPr>
        <w:t>M(φ) = a(1-e²) / (1-e² sin²φ)^(3/2)</w:t>
      </w:r>
    </w:p>
    <w:p>
      <w:pPr>
        <w:keepNext w:val="0"/>
        <w:spacing w:before="80" w:after="80" w:line="240" w:lineRule="auto"/>
        <w:jc w:val="center"/>
      </w:pPr>
      <w:r>
        <w:rPr>
          <w:rFonts w:ascii="DejaVu Serif" w:hAnsi="DejaVu Serif" w:eastAsia="DejaVu Serif"/>
          <w:b/>
          <w:i w:val="0"/>
          <w:color w:val="2B176E"/>
          <w:sz w:val="25"/>
        </w:rPr>
        <w:t>N(φ) = a / √(1-e² sin²φ)</w:t>
      </w:r>
    </w:p>
    <w:p>
      <w:pPr>
        <w:keepNext w:val="0"/>
        <w:spacing w:before="0" w:after="120" w:line="281" w:lineRule="auto"/>
      </w:pPr>
      <w:r>
        <w:rPr>
          <w:rFonts w:ascii="Liberation Sans" w:hAnsi="Liberation Sans" w:eastAsia="Liberation Sans"/>
          <w:b w:val="0"/>
          <w:i w:val="0"/>
          <w:color w:val="0F172A"/>
          <w:sz w:val="21"/>
        </w:rPr>
        <w:t>Cette géométrie explique la construction et le comportement des coordonnées terrestres. Elle n’est pas automatiquement la géométrie finale de l’espace Makolo commun.</w:t>
      </w:r>
    </w:p>
    <w:p>
      <w:pPr>
        <w:pStyle w:val="Heading2"/>
        <w:keepNext/>
        <w:spacing w:before="100" w:after="80" w:line="252" w:lineRule="auto"/>
      </w:pPr>
      <w:r>
        <w:rPr>
          <w:rFonts w:ascii="Liberation Sans" w:hAnsi="Liberation Sans" w:eastAsia="Liberation Sans"/>
          <w:b/>
          <w:i w:val="0"/>
          <w:color w:val="5232DB"/>
          <w:sz w:val="26"/>
        </w:rPr>
        <w:t>1.2. Couche de construction logique</w:t>
      </w:r>
    </w:p>
    <w:p>
      <w:pPr>
        <w:keepNext w:val="0"/>
        <w:spacing w:before="0" w:after="120" w:line="281" w:lineRule="auto"/>
      </w:pPr>
      <w:r>
        <w:rPr>
          <w:rFonts w:ascii="Liberation Sans" w:hAnsi="Liberation Sans" w:eastAsia="Liberation Sans"/>
          <w:b w:val="0"/>
          <w:i w:val="0"/>
          <w:color w:val="0F172A"/>
          <w:sz w:val="21"/>
        </w:rPr>
        <w:t>La structure logique de construction reste un graphe orienté pondéré, muni d’une origine formelle ε et de loci canoniques. Cette structure sert à construire ou identifier correctement un locus logique ; elle n’est pas le chemin que doit suivre un objet lorsqu’il change de localisation logique.</w:t>
      </w:r>
    </w:p>
    <w:p>
      <w:pPr>
        <w:keepNext w:val="0"/>
        <w:spacing w:before="80" w:after="80" w:line="240" w:lineRule="auto"/>
        <w:jc w:val="center"/>
      </w:pPr>
      <w:r>
        <w:rPr>
          <w:rFonts w:ascii="DejaVu Serif" w:hAnsi="DejaVu Serif" w:eastAsia="DejaVu Serif"/>
          <w:b/>
          <w:i w:val="0"/>
          <w:color w:val="2B176E"/>
          <w:sz w:val="25"/>
        </w:rPr>
        <w:t>ℒ = (V, E, ω),     ε ∈ V</w:t>
      </w:r>
    </w:p>
    <w:p>
      <w:pPr>
        <w:keepNext w:val="0"/>
        <w:spacing w:before="0" w:after="120" w:line="281" w:lineRule="auto"/>
      </w:pPr>
      <w:r>
        <w:rPr>
          <w:rFonts w:ascii="Liberation Sans" w:hAnsi="Liberation Sans" w:eastAsia="Liberation Sans"/>
          <w:b w:val="0"/>
          <w:i w:val="0"/>
          <w:color w:val="0F172A"/>
          <w:sz w:val="21"/>
        </w:rPr>
        <w:t>Un locus canonique ℓ est ensuite encodé numériquement par une application E_I. La coordonnée utilisée par la géométrie commune est :</w:t>
      </w:r>
    </w:p>
    <w:p>
      <w:pPr>
        <w:keepNext w:val="0"/>
        <w:spacing w:before="80" w:after="80" w:line="240" w:lineRule="auto"/>
        <w:jc w:val="center"/>
      </w:pPr>
      <w:r>
        <w:rPr>
          <w:rFonts w:ascii="DejaVu Serif" w:hAnsi="DejaVu Serif" w:eastAsia="DejaVu Serif"/>
          <w:b/>
          <w:i w:val="0"/>
          <w:color w:val="2B176E"/>
          <w:sz w:val="25"/>
        </w:rPr>
        <w:t>ψ = E_I(ℓ)</w:t>
      </w:r>
    </w:p>
    <w:p>
      <w:pPr>
        <w:keepNext w:val="0"/>
        <w:spacing w:before="0" w:after="120" w:line="281" w:lineRule="auto"/>
      </w:pPr>
      <w:r>
        <w:rPr>
          <w:rFonts w:ascii="Liberation Sans" w:hAnsi="Liberation Sans" w:eastAsia="Liberation Sans"/>
          <w:b w:val="0"/>
          <w:i w:val="0"/>
          <w:color w:val="0F172A"/>
          <w:sz w:val="21"/>
        </w:rPr>
        <w:t>Le polynôme historique d’encodage peut rester le mécanisme de construction, sous réserve de la canonicalisation fixée pour les composants logiques :</w:t>
      </w:r>
    </w:p>
    <w:p>
      <w:pPr>
        <w:keepNext w:val="0"/>
        <w:spacing w:before="80" w:after="80" w:line="240" w:lineRule="auto"/>
        <w:jc w:val="center"/>
      </w:pPr>
      <w:r>
        <w:rPr>
          <w:rFonts w:ascii="DejaVu Serif" w:hAnsi="DejaVu Serif" w:eastAsia="DejaVu Serif"/>
          <w:b/>
          <w:i w:val="0"/>
          <w:color w:val="2B176E"/>
          <w:sz w:val="25"/>
        </w:rPr>
        <w:t>E_I(c₀,…,cₖ) = 180(1-α)[ Σ cⱼ αʲ + τ α^(k+1) ],   α = e⁻¹</w:t>
      </w:r>
    </w:p>
    <w:tbl>
      <w:tblPr>
        <w:tblW w:type="auto" w:w="0"/>
        <w:jc w:val="center"/>
        <w:tblLayout w:type="autofit"/>
        <w:tblLook w:firstColumn="1" w:firstRow="1" w:lastColumn="0" w:lastRow="0" w:noHBand="0" w:noVBand="1" w:val="04A0"/>
      </w:tblPr>
      <w:tblGrid>
        <w:gridCol w:w="9994"/>
      </w:tblGrid>
      <w:tr>
        <w:tc>
          <w:tcPr>
            <w:tcW w:type="dxa" w:w="9994"/>
            <w:shd w:fill="FFF0EB"/>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FF704D"/>
                <w:sz w:val="21"/>
              </w:rPr>
              <w:t>Séparation indispensable</w:t>
            </w:r>
          </w:p>
          <w:p>
            <w:pPr>
              <w:keepNext w:val="0"/>
              <w:spacing w:before="0" w:after="0" w:line="271" w:lineRule="auto"/>
            </w:pPr>
            <w:r>
              <w:rPr>
                <w:rFonts w:ascii="Liberation Sans" w:hAnsi="Liberation Sans" w:eastAsia="Liberation Sans"/>
                <w:b w:val="0"/>
                <w:i w:val="0"/>
                <w:color w:val="0F172A"/>
                <w:sz w:val="20"/>
              </w:rPr>
              <w:t>Le graphe ℒ, le locus ℓ, une éventuelle profondeur ρ(ℓ) depuis ε et la coordonnée scalaire ψ = E_I(ℓ) sont quatre objets distincts.</w:t>
            </w:r>
          </w:p>
        </w:tc>
      </w:tr>
    </w:tbl>
    <w:p>
      <w:pPr>
        <w:spacing w:after="20"/>
      </w:pPr>
    </w:p>
    <w:p>
      <w:pPr>
        <w:pStyle w:val="Heading2"/>
        <w:keepNext/>
        <w:spacing w:before="100" w:after="80" w:line="252" w:lineRule="auto"/>
      </w:pPr>
      <w:r>
        <w:rPr>
          <w:rFonts w:ascii="Liberation Sans" w:hAnsi="Liberation Sans" w:eastAsia="Liberation Sans"/>
          <w:b/>
          <w:i w:val="0"/>
          <w:color w:val="5232DB"/>
          <w:sz w:val="26"/>
        </w:rPr>
        <w:t>1.3. Utilisation dans la géométrie commune</w:t>
      </w:r>
    </w:p>
    <w:p>
      <w:pPr>
        <w:keepNext w:val="0"/>
        <w:spacing w:before="0" w:after="120" w:line="281" w:lineRule="auto"/>
      </w:pPr>
      <w:r>
        <w:rPr>
          <w:rFonts w:ascii="Liberation Sans" w:hAnsi="Liberation Sans" w:eastAsia="Liberation Sans"/>
          <w:b w:val="0"/>
          <w:i w:val="0"/>
          <w:color w:val="0F172A"/>
          <w:sz w:val="21"/>
        </w:rPr>
        <w:t>Une fois les coordonnées construites, la nouvelle géométrie travaille directement avec leurs valeurs. Elle ne reparcourt ni l’ellipsoïde WGS84 ni le graphe logique pour décider qu’un changement de position a eu lieu.</w:t>
      </w:r>
    </w:p>
    <w:p>
      <w:pPr>
        <w:keepNext w:val="0"/>
        <w:spacing w:before="80" w:after="80" w:line="240" w:lineRule="auto"/>
        <w:jc w:val="center"/>
      </w:pPr>
      <w:r>
        <w:rPr>
          <w:rFonts w:ascii="DejaVu Serif" w:hAnsi="DejaVu Serif" w:eastAsia="DejaVu Serif"/>
          <w:b/>
          <w:i w:val="0"/>
          <w:color w:val="2B176E"/>
          <w:sz w:val="25"/>
        </w:rPr>
        <w:t>P = (λ, φ, ψ)</w:t>
      </w:r>
    </w:p>
    <w:p>
      <w:r>
        <w:br w:type="page"/>
      </w:r>
    </w:p>
    <w:p>
      <w:pPr>
        <w:pStyle w:val="Heading1"/>
        <w:keepNext/>
        <w:spacing w:before="160" w:after="80" w:line="252" w:lineRule="auto"/>
      </w:pPr>
      <w:r>
        <w:rPr>
          <w:rFonts w:ascii="Liberation Sans" w:hAnsi="Liberation Sans" w:eastAsia="Liberation Sans"/>
          <w:b/>
          <w:i w:val="0"/>
          <w:color w:val="2B176E"/>
          <w:sz w:val="34"/>
        </w:rPr>
        <w:t>2. Coordonnées retenues</w:t>
      </w:r>
    </w:p>
    <w:p>
      <w:pPr>
        <w:pStyle w:val="Heading2"/>
        <w:keepNext/>
        <w:spacing w:before="100" w:after="80" w:line="252" w:lineRule="auto"/>
      </w:pPr>
      <w:r>
        <w:rPr>
          <w:rFonts w:ascii="Liberation Sans" w:hAnsi="Liberation Sans" w:eastAsia="Liberation Sans"/>
          <w:b/>
          <w:i w:val="0"/>
          <w:color w:val="5232DB"/>
          <w:sz w:val="26"/>
        </w:rPr>
        <w:t>2.1. Longitude λ</w:t>
      </w:r>
    </w:p>
    <w:p>
      <w:pPr>
        <w:keepNext w:val="0"/>
        <w:spacing w:before="0" w:after="120" w:line="281" w:lineRule="auto"/>
      </w:pPr>
      <w:r>
        <w:rPr>
          <w:rFonts w:ascii="Liberation Sans" w:hAnsi="Liberation Sans" w:eastAsia="Liberation Sans"/>
          <w:b w:val="0"/>
          <w:i w:val="0"/>
          <w:color w:val="0F172A"/>
          <w:sz w:val="21"/>
        </w:rPr>
        <w:t>λ est une coordonnée angulaire. Intrinsèquement, elle est périodique ; une représentation canonique peut utiliser un intervalle comme [-π, π), mais la géométrie ne doit pas confondre la coupure de représentation avec une coupure réelle de l’espace.</w:t>
      </w:r>
    </w:p>
    <w:p>
      <w:pPr>
        <w:keepNext w:val="0"/>
        <w:spacing w:before="80" w:after="80" w:line="240" w:lineRule="auto"/>
        <w:jc w:val="center"/>
      </w:pPr>
      <w:r>
        <w:rPr>
          <w:rFonts w:ascii="DejaVu Serif" w:hAnsi="DejaVu Serif" w:eastAsia="DejaVu Serif"/>
          <w:b/>
          <w:i w:val="0"/>
          <w:color w:val="2B176E"/>
          <w:sz w:val="25"/>
        </w:rPr>
        <w:t>λ ∈ Λ,     Λ ≃ ℝ / 2πℤ</w:t>
      </w:r>
    </w:p>
    <w:p>
      <w:pPr>
        <w:pStyle w:val="Heading2"/>
        <w:keepNext/>
        <w:spacing w:before="100" w:after="80" w:line="252" w:lineRule="auto"/>
      </w:pPr>
      <w:r>
        <w:rPr>
          <w:rFonts w:ascii="Liberation Sans" w:hAnsi="Liberation Sans" w:eastAsia="Liberation Sans"/>
          <w:b/>
          <w:i w:val="0"/>
          <w:color w:val="5232DB"/>
          <w:sz w:val="26"/>
        </w:rPr>
        <w:t>2.2. Latitude φ</w:t>
      </w:r>
    </w:p>
    <w:p>
      <w:pPr>
        <w:keepNext w:val="0"/>
        <w:spacing w:before="0" w:after="120" w:line="281" w:lineRule="auto"/>
      </w:pPr>
      <w:r>
        <w:rPr>
          <w:rFonts w:ascii="Liberation Sans" w:hAnsi="Liberation Sans" w:eastAsia="Liberation Sans"/>
          <w:b w:val="0"/>
          <w:i w:val="0"/>
          <w:color w:val="0F172A"/>
          <w:sz w:val="21"/>
        </w:rPr>
        <w:t>φ est une coordonnée scalaire bornée. Elle conserve sa propre nature et n’est pas fusionnée avec λ.</w:t>
      </w:r>
    </w:p>
    <w:p>
      <w:pPr>
        <w:keepNext w:val="0"/>
        <w:spacing w:before="80" w:after="80" w:line="240" w:lineRule="auto"/>
        <w:jc w:val="center"/>
      </w:pPr>
      <w:r>
        <w:rPr>
          <w:rFonts w:ascii="DejaVu Serif" w:hAnsi="DejaVu Serif" w:eastAsia="DejaVu Serif"/>
          <w:b/>
          <w:i w:val="0"/>
          <w:color w:val="2B176E"/>
          <w:sz w:val="25"/>
        </w:rPr>
        <w:t>φ ∈ Φ = [-π/2, π/2]</w:t>
      </w:r>
    </w:p>
    <w:p>
      <w:pPr>
        <w:pStyle w:val="Heading2"/>
        <w:keepNext/>
        <w:spacing w:before="100" w:after="80" w:line="252" w:lineRule="auto"/>
      </w:pPr>
      <w:r>
        <w:rPr>
          <w:rFonts w:ascii="Liberation Sans" w:hAnsi="Liberation Sans" w:eastAsia="Liberation Sans"/>
          <w:b/>
          <w:i w:val="0"/>
          <w:color w:val="5232DB"/>
          <w:sz w:val="26"/>
        </w:rPr>
        <w:t>2.3. Coordonnée logique ψ</w:t>
      </w:r>
    </w:p>
    <w:p>
      <w:pPr>
        <w:keepNext w:val="0"/>
        <w:spacing w:before="0" w:after="120" w:line="281" w:lineRule="auto"/>
      </w:pPr>
      <w:r>
        <w:rPr>
          <w:rFonts w:ascii="Liberation Sans" w:hAnsi="Liberation Sans" w:eastAsia="Liberation Sans"/>
          <w:b w:val="0"/>
          <w:i w:val="0"/>
          <w:color w:val="0F172A"/>
          <w:sz w:val="21"/>
        </w:rPr>
        <w:t>ψ est un scalaire numérique issu d’un locus logique canonique. Son domaine n’est pas supposé être toute la droite réelle :</w:t>
      </w:r>
    </w:p>
    <w:p>
      <w:pPr>
        <w:keepNext w:val="0"/>
        <w:spacing w:before="80" w:after="80" w:line="240" w:lineRule="auto"/>
        <w:jc w:val="center"/>
      </w:pPr>
      <w:r>
        <w:rPr>
          <w:rFonts w:ascii="DejaVu Serif" w:hAnsi="DejaVu Serif" w:eastAsia="DejaVu Serif"/>
          <w:b/>
          <w:i w:val="0"/>
          <w:color w:val="2B176E"/>
          <w:sz w:val="25"/>
        </w:rPr>
        <w:t>ψ ∈ Ψ = E_I(V) ⊆ ℝ</w:t>
      </w:r>
    </w:p>
    <w:p>
      <w:pPr>
        <w:keepNext w:val="0"/>
        <w:spacing w:before="0" w:after="120" w:line="281" w:lineRule="auto"/>
      </w:pPr>
      <w:r>
        <w:rPr>
          <w:rFonts w:ascii="Liberation Sans" w:hAnsi="Liberation Sans" w:eastAsia="Liberation Sans"/>
          <w:b w:val="0"/>
          <w:i w:val="0"/>
          <w:color w:val="0F172A"/>
          <w:sz w:val="21"/>
        </w:rPr>
        <w:t>L’injectivité de E_I sert à distinguer des loci différents. Elle ne suffit pas à donner une signification géométrique à |ψ₂ - ψ₁|.</w:t>
      </w:r>
    </w:p>
    <w:p>
      <w:pPr>
        <w:pStyle w:val="Heading2"/>
        <w:keepNext/>
        <w:spacing w:before="100" w:after="80" w:line="252" w:lineRule="auto"/>
      </w:pPr>
      <w:r>
        <w:rPr>
          <w:rFonts w:ascii="Liberation Sans" w:hAnsi="Liberation Sans" w:eastAsia="Liberation Sans"/>
          <w:b/>
          <w:i w:val="0"/>
          <w:color w:val="5232DB"/>
          <w:sz w:val="26"/>
        </w:rPr>
        <w:t>2.4. Position complète</w:t>
      </w:r>
    </w:p>
    <w:p>
      <w:pPr>
        <w:keepNext w:val="0"/>
        <w:spacing w:before="80" w:after="80" w:line="240" w:lineRule="auto"/>
        <w:jc w:val="center"/>
      </w:pPr>
      <w:r>
        <w:rPr>
          <w:rFonts w:ascii="DejaVu Serif" w:hAnsi="DejaVu Serif" w:eastAsia="DejaVu Serif"/>
          <w:b/>
          <w:i w:val="0"/>
          <w:color w:val="2B176E"/>
          <w:sz w:val="25"/>
        </w:rPr>
        <w:t>P = (λ, φ, ψ) ∈ 𝓧</w:t>
      </w:r>
    </w:p>
    <w:p>
      <w:pPr>
        <w:keepNext w:val="0"/>
        <w:spacing w:before="80" w:after="80" w:line="240" w:lineRule="auto"/>
        <w:jc w:val="center"/>
      </w:pPr>
      <w:r>
        <w:rPr>
          <w:rFonts w:ascii="DejaVu Serif" w:hAnsi="DejaVu Serif" w:eastAsia="DejaVu Serif"/>
          <w:b/>
          <w:i w:val="0"/>
          <w:color w:val="2B176E"/>
          <w:sz w:val="25"/>
        </w:rPr>
        <w:t>𝓧 = Λ × Φ × Ψ</w:t>
      </w:r>
    </w:p>
    <w:p>
      <w:pPr>
        <w:keepNext w:val="0"/>
        <w:spacing w:before="0" w:after="120" w:line="281" w:lineRule="auto"/>
      </w:pPr>
      <w:r>
        <w:rPr>
          <w:rFonts w:ascii="Liberation Sans" w:hAnsi="Liberation Sans" w:eastAsia="Liberation Sans"/>
          <w:b w:val="0"/>
          <w:i w:val="0"/>
          <w:color w:val="0F172A"/>
          <w:sz w:val="21"/>
        </w:rPr>
        <w:t>Le fait d’utiliser trois scalaires ne suffit pas à définir une métrique euclidienne. Les domaines, identifications et symétries des trois coordonnées restent différents.</w:t>
      </w:r>
    </w:p>
    <w:tbl>
      <w:tblPr>
        <w:tblW w:type="auto" w:w="0"/>
        <w:jc w:val="center"/>
        <w:tblLayout w:type="autofit"/>
        <w:tblLook w:firstColumn="1" w:firstRow="1" w:lastColumn="0" w:lastRow="0" w:noHBand="0" w:noVBand="1" w:val="04A0"/>
      </w:tblPr>
      <w:tblGrid>
        <w:gridCol w:w="9994"/>
      </w:tblGrid>
      <w:tr>
        <w:tc>
          <w:tcPr>
            <w:tcW w:type="dxa" w:w="9994"/>
            <w:shd w:fill="FFF1F2"/>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BE123C"/>
                <w:sz w:val="21"/>
              </w:rPr>
              <w:t>Notation abandonnée</w:t>
            </w:r>
          </w:p>
          <w:p>
            <w:pPr>
              <w:keepNext w:val="0"/>
              <w:spacing w:before="0" w:after="0" w:line="271" w:lineRule="auto"/>
            </w:pPr>
            <w:r>
              <w:rPr>
                <w:rFonts w:ascii="Liberation Sans" w:hAnsi="Liberation Sans" w:eastAsia="Liberation Sans"/>
                <w:b w:val="0"/>
                <w:i w:val="0"/>
                <w:color w:val="0F172A"/>
                <w:sz w:val="20"/>
              </w:rPr>
              <w:t>Dans la géométrie commune, on ne travaille plus avec g, i, d_G ou d_L. Ces objets appartiennent à des constructions antérieures ou à des théories auxiliaires, pas au socle actuel de l’espace Makolo.</w:t>
            </w:r>
          </w:p>
        </w:tc>
      </w:tr>
    </w:tbl>
    <w:p>
      <w:pPr>
        <w:spacing w:after="20"/>
      </w:pPr>
    </w:p>
    <w:p>
      <w:pPr>
        <w:pStyle w:val="Heading2"/>
        <w:keepNext/>
        <w:spacing w:before="100" w:after="80" w:line="252" w:lineRule="auto"/>
      </w:pPr>
      <w:r>
        <w:rPr>
          <w:rFonts w:ascii="Liberation Sans" w:hAnsi="Liberation Sans" w:eastAsia="Liberation Sans"/>
          <w:b/>
          <w:i w:val="0"/>
          <w:color w:val="5232DB"/>
          <w:sz w:val="26"/>
        </w:rPr>
        <w:t>2.5. Positions partielles et absence de coordonnée</w:t>
      </w:r>
    </w:p>
    <w:p>
      <w:pPr>
        <w:keepNext w:val="0"/>
        <w:spacing w:before="0" w:after="120" w:line="281" w:lineRule="auto"/>
      </w:pPr>
      <w:r>
        <w:rPr>
          <w:rFonts w:ascii="Liberation Sans" w:hAnsi="Liberation Sans" w:eastAsia="Liberation Sans"/>
          <w:b w:val="0"/>
          <w:i w:val="0"/>
          <w:color w:val="0F172A"/>
          <w:sz w:val="21"/>
        </w:rPr>
        <w:t>Une absence de coordonnée n’est jamais assimilée à zéro, à ε ou à une autre valeur numérique. La formulation étendue la plus simple autorise indépendamment l’absence de chaque coordonnée, à l’exception de l’état totalement vide :</w:t>
      </w:r>
    </w:p>
    <w:p>
      <w:pPr>
        <w:keepNext w:val="0"/>
        <w:spacing w:before="80" w:after="80" w:line="240" w:lineRule="auto"/>
        <w:jc w:val="center"/>
      </w:pPr>
      <w:r>
        <w:rPr>
          <w:rFonts w:ascii="DejaVu Serif" w:hAnsi="DejaVu Serif" w:eastAsia="DejaVu Serif"/>
          <w:b/>
          <w:i w:val="0"/>
          <w:color w:val="2B176E"/>
          <w:sz w:val="25"/>
        </w:rPr>
        <w:t>X̂ = [(Λ ⊔ {⊥λ}) × (Φ ⊔ {⊥φ}) × (Ψ ⊔ {⊥ψ})] ∖ {(⊥λ, ⊥φ, ⊥ψ)}</w:t>
      </w:r>
    </w:p>
    <w:p>
      <w:pPr>
        <w:keepNext w:val="0"/>
        <w:spacing w:before="0" w:after="120" w:line="281" w:lineRule="auto"/>
      </w:pPr>
      <w:r>
        <w:rPr>
          <w:rFonts w:ascii="Liberation Sans" w:hAnsi="Liberation Sans" w:eastAsia="Liberation Sans"/>
          <w:b w:val="0"/>
          <w:i w:val="0"/>
          <w:color w:val="0F172A"/>
          <w:sz w:val="21"/>
        </w:rPr>
        <w:t>La contrainte ancienne « λ présente si et seulement si φ présente » n’est pas un axiome géométrique nécessaire. Si une application exige un couple géographique complet, ce sera une règle de validité métier ou de sous-espace, pas une loi fondamentale de la géométrie commune.</w:t>
      </w:r>
    </w:p>
    <w:p>
      <w:r>
        <w:br w:type="page"/>
      </w:r>
    </w:p>
    <w:p>
      <w:pPr>
        <w:pStyle w:val="Heading1"/>
        <w:keepNext/>
        <w:spacing w:before="160" w:after="80" w:line="252" w:lineRule="auto"/>
      </w:pPr>
      <w:r>
        <w:rPr>
          <w:rFonts w:ascii="Liberation Sans" w:hAnsi="Liberation Sans" w:eastAsia="Liberation Sans"/>
          <w:b/>
          <w:i w:val="0"/>
          <w:color w:val="2B176E"/>
          <w:sz w:val="34"/>
        </w:rPr>
        <w:t>3. Changement de position : le saut est primitif</w:t>
      </w:r>
    </w:p>
    <w:p>
      <w:pPr>
        <w:keepNext w:val="0"/>
        <w:spacing w:before="0" w:after="120" w:line="281" w:lineRule="auto"/>
      </w:pPr>
      <w:r>
        <w:rPr>
          <w:rFonts w:ascii="Liberation Sans" w:hAnsi="Liberation Sans" w:eastAsia="Liberation Sans"/>
          <w:b w:val="0"/>
          <w:i w:val="0"/>
          <w:color w:val="0F172A"/>
          <w:sz w:val="21"/>
        </w:rPr>
        <w:t>Le mouvement primitif n’est pas une courbe continue imposée. Il est d’abord une succession d’états. Les coordonnées peuvent appartenir à des domaines réels tout en changeant par sauts d’un état observé au suivant.</w:t>
      </w:r>
    </w:p>
    <w:p>
      <w:pPr>
        <w:keepNext w:val="0"/>
        <w:spacing w:before="80" w:after="80" w:line="240" w:lineRule="auto"/>
        <w:jc w:val="center"/>
      </w:pPr>
      <w:r>
        <w:rPr>
          <w:rFonts w:ascii="DejaVu Serif" w:hAnsi="DejaVu Serif" w:eastAsia="DejaVu Serif"/>
          <w:b/>
          <w:i w:val="0"/>
          <w:color w:val="2B176E"/>
          <w:sz w:val="25"/>
        </w:rPr>
        <w:t>P → Q</w:t>
      </w:r>
    </w:p>
    <w:p>
      <w:pPr>
        <w:pStyle w:val="Heading2"/>
        <w:keepNext/>
        <w:spacing w:before="100" w:after="80" w:line="252" w:lineRule="auto"/>
      </w:pPr>
      <w:r>
        <w:rPr>
          <w:rFonts w:ascii="Liberation Sans" w:hAnsi="Liberation Sans" w:eastAsia="Liberation Sans"/>
          <w:b/>
          <w:i w:val="0"/>
          <w:color w:val="5232DB"/>
          <w:sz w:val="26"/>
        </w:rPr>
        <w:t>3.1. Aucun intermédiaire implicite</w:t>
      </w:r>
    </w:p>
    <w:p>
      <w:pPr>
        <w:keepNext w:val="0"/>
        <w:spacing w:before="0" w:after="120" w:line="281" w:lineRule="auto"/>
      </w:pPr>
      <w:r>
        <w:rPr>
          <w:rFonts w:ascii="Liberation Sans" w:hAnsi="Liberation Sans" w:eastAsia="Liberation Sans"/>
          <w:b w:val="0"/>
          <w:i w:val="0"/>
          <w:color w:val="0F172A"/>
          <w:sz w:val="21"/>
        </w:rPr>
        <w:t>Si λ passe de A à A+10, rien n’impose que A+1, A+2, …, A+9 aient été des positions occupées. La même règle vaut pour φ et pour ψ. L’existence de valeurs intermédiaires dans un domaine n’implique pas leur parcours.</w:t>
      </w:r>
    </w:p>
    <w:tbl>
      <w:tblPr>
        <w:tblW w:type="auto" w:w="0"/>
        <w:jc w:val="center"/>
        <w:tblLayout w:type="autofit"/>
        <w:tblLook w:firstColumn="1" w:firstRow="1" w:lastColumn="0" w:lastRow="0" w:noHBand="0" w:noVBand="1" w:val="04A0"/>
      </w:tblPr>
      <w:tblGrid>
        <w:gridCol w:w="9994"/>
      </w:tblGrid>
      <w:tr>
        <w:tc>
          <w:tcPr>
            <w:tcW w:type="dxa" w:w="9994"/>
            <w:shd w:fill="ECFDF5"/>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047857"/>
                <w:sz w:val="21"/>
              </w:rPr>
              <w:t>Principe retenu</w:t>
            </w:r>
          </w:p>
          <w:p>
            <w:pPr>
              <w:keepNext w:val="0"/>
              <w:spacing w:before="0" w:after="0" w:line="271" w:lineRule="auto"/>
            </w:pPr>
            <w:r>
              <w:rPr>
                <w:rFonts w:ascii="Liberation Sans" w:hAnsi="Liberation Sans" w:eastAsia="Liberation Sans"/>
                <w:b w:val="0"/>
                <w:i w:val="0"/>
                <w:color w:val="0F172A"/>
                <w:sz w:val="20"/>
              </w:rPr>
              <w:t>Existence d’une position intermédiaire ≠ passage par cette position.</w:t>
            </w:r>
          </w:p>
        </w:tc>
      </w:tr>
    </w:tbl>
    <w:p>
      <w:pPr>
        <w:spacing w:after="20"/>
      </w:pPr>
    </w:p>
    <w:p>
      <w:pPr>
        <w:pStyle w:val="Heading2"/>
        <w:keepNext/>
        <w:spacing w:before="100" w:after="80" w:line="252" w:lineRule="auto"/>
      </w:pPr>
      <w:r>
        <w:rPr>
          <w:rFonts w:ascii="Liberation Sans" w:hAnsi="Liberation Sans" w:eastAsia="Liberation Sans"/>
          <w:b/>
          <w:i w:val="0"/>
          <w:color w:val="5232DB"/>
          <w:sz w:val="26"/>
        </w:rPr>
        <w:t>3.2. Plusieurs coordonnées peuvent changer en même temps</w:t>
      </w:r>
    </w:p>
    <w:p>
      <w:pPr>
        <w:keepNext w:val="0"/>
        <w:spacing w:before="0" w:after="120" w:line="281" w:lineRule="auto"/>
      </w:pPr>
      <w:r>
        <w:rPr>
          <w:rFonts w:ascii="Liberation Sans" w:hAnsi="Liberation Sans" w:eastAsia="Liberation Sans"/>
          <w:b w:val="0"/>
          <w:i w:val="0"/>
          <w:color w:val="0F172A"/>
          <w:sz w:val="21"/>
        </w:rPr>
        <w:t>Une transition complète peut modifier λ, φ et ψ simultanément. Il n’existe aucune obligation de décomposer un saut en trois changements successifs de coordonnées.</w:t>
      </w:r>
    </w:p>
    <w:p>
      <w:pPr>
        <w:keepNext w:val="0"/>
        <w:spacing w:before="80" w:after="80" w:line="240" w:lineRule="auto"/>
        <w:jc w:val="center"/>
      </w:pPr>
      <w:r>
        <w:rPr>
          <w:rFonts w:ascii="DejaVu Serif" w:hAnsi="DejaVu Serif" w:eastAsia="DejaVu Serif"/>
          <w:b/>
          <w:i w:val="0"/>
          <w:color w:val="2B176E"/>
          <w:sz w:val="25"/>
        </w:rPr>
        <w:t>(λ₁, φ₁, ψ₁) → (λ₂, φ₂, ψ₂)</w:t>
      </w:r>
    </w:p>
    <w:p>
      <w:pPr>
        <w:pStyle w:val="Heading2"/>
        <w:keepNext/>
        <w:spacing w:before="100" w:after="80" w:line="252" w:lineRule="auto"/>
      </w:pPr>
      <w:r>
        <w:rPr>
          <w:rFonts w:ascii="Liberation Sans" w:hAnsi="Liberation Sans" w:eastAsia="Liberation Sans"/>
          <w:b/>
          <w:i w:val="0"/>
          <w:color w:val="5232DB"/>
          <w:sz w:val="26"/>
        </w:rPr>
        <w:t>3.3. Saut direct et histoire composée sont distincts</w:t>
      </w:r>
    </w:p>
    <w:p>
      <w:pPr>
        <w:keepNext w:val="0"/>
        <w:spacing w:before="80" w:after="80" w:line="240" w:lineRule="auto"/>
        <w:jc w:val="center"/>
      </w:pPr>
      <w:r>
        <w:rPr>
          <w:rFonts w:ascii="DejaVu Serif" w:hAnsi="DejaVu Serif" w:eastAsia="DejaVu Serif"/>
          <w:b/>
          <w:i w:val="0"/>
          <w:color w:val="2B176E"/>
          <w:sz w:val="25"/>
        </w:rPr>
        <w:t>P → R    ≠    P → Q → R</w:t>
      </w:r>
    </w:p>
    <w:p>
      <w:pPr>
        <w:keepNext w:val="0"/>
        <w:spacing w:before="0" w:after="120" w:line="281" w:lineRule="auto"/>
      </w:pPr>
      <w:r>
        <w:rPr>
          <w:rFonts w:ascii="Liberation Sans" w:hAnsi="Liberation Sans" w:eastAsia="Liberation Sans"/>
          <w:b w:val="0"/>
          <w:i w:val="0"/>
          <w:color w:val="0F172A"/>
          <w:sz w:val="21"/>
        </w:rPr>
        <w:t>Les deux histoires possèdent les mêmes extrémités, mais elles ne sont pas la même trajectoire. L’espace des histoires contient donc plus d’information que l’espace des positions.</w:t>
      </w:r>
    </w:p>
    <w:p>
      <w:pPr>
        <w:pStyle w:val="Heading2"/>
        <w:keepNext/>
        <w:spacing w:before="100" w:after="80" w:line="252" w:lineRule="auto"/>
      </w:pPr>
      <w:r>
        <w:rPr>
          <w:rFonts w:ascii="Liberation Sans" w:hAnsi="Liberation Sans" w:eastAsia="Liberation Sans"/>
          <w:b/>
          <w:i w:val="0"/>
          <w:color w:val="5232DB"/>
          <w:sz w:val="26"/>
        </w:rPr>
        <w:t>3.4. Relocalisation libre</w:t>
      </w:r>
    </w:p>
    <w:p>
      <w:pPr>
        <w:keepNext w:val="0"/>
        <w:spacing w:before="0" w:after="120" w:line="281" w:lineRule="auto"/>
      </w:pPr>
      <w:r>
        <w:rPr>
          <w:rFonts w:ascii="Liberation Sans" w:hAnsi="Liberation Sans" w:eastAsia="Liberation Sans"/>
          <w:b w:val="0"/>
          <w:i w:val="0"/>
          <w:color w:val="0F172A"/>
          <w:sz w:val="21"/>
        </w:rPr>
        <w:t>Les tests préparatoires n’ont révélé aucune contrainte intrinsèque des coordonnées obligeant deux états successifs à être voisins. L’axiome retenu pour la possibilité de relocalisation est donc :</w:t>
      </w:r>
    </w:p>
    <w:p>
      <w:pPr>
        <w:keepNext w:val="0"/>
        <w:spacing w:before="80" w:after="80" w:line="240" w:lineRule="auto"/>
        <w:jc w:val="center"/>
      </w:pPr>
      <w:r>
        <w:rPr>
          <w:rFonts w:ascii="DejaVu Serif" w:hAnsi="DejaVu Serif" w:eastAsia="DejaVu Serif"/>
          <w:b/>
          <w:i w:val="0"/>
          <w:color w:val="2B176E"/>
          <w:sz w:val="25"/>
        </w:rPr>
        <w:t>𝓡 = 𝓧 × 𝓧</w:t>
      </w:r>
    </w:p>
    <w:p>
      <w:pPr>
        <w:keepNext w:val="0"/>
        <w:spacing w:before="0" w:after="120" w:line="281" w:lineRule="auto"/>
      </w:pPr>
      <w:r>
        <w:rPr>
          <w:rFonts w:ascii="Liberation Sans" w:hAnsi="Liberation Sans" w:eastAsia="Liberation Sans"/>
          <w:b w:val="0"/>
          <w:i w:val="0"/>
          <w:color w:val="0F172A"/>
          <w:sz w:val="21"/>
        </w:rPr>
        <w:t>Autrement dit, toute paire ordonnée de positions complètes admissibles peut former un saut direct. La possibilité est symétrique, même si l’événement historique P → Q reste orienté.</w:t>
      </w:r>
    </w:p>
    <w:p>
      <w:pPr>
        <w:keepNext w:val="0"/>
        <w:spacing w:before="0" w:after="120" w:line="281" w:lineRule="auto"/>
      </w:pPr>
      <w:r>
        <w:rPr>
          <w:rFonts w:ascii="Liberation Sans" w:hAnsi="Liberation Sans" w:eastAsia="Liberation Sans"/>
          <w:b w:val="0"/>
          <w:i w:val="0"/>
          <w:color w:val="0F172A"/>
          <w:sz w:val="21"/>
        </w:rPr>
        <w:t>La même philosophie s’étend naturellement à X̂ lorsque des positions partielles sont admises : la validité d’un saut dépend d’abord de la validité de ses deux états terminaux, et non d’une interpolation entre eux.</w:t>
      </w:r>
    </w:p>
    <w:p>
      <w:r>
        <w:br w:type="page"/>
      </w:r>
    </w:p>
    <w:p>
      <w:pPr>
        <w:pStyle w:val="Heading1"/>
        <w:keepNext/>
        <w:spacing w:before="160" w:after="80" w:line="252" w:lineRule="auto"/>
      </w:pPr>
      <w:r>
        <w:rPr>
          <w:rFonts w:ascii="Liberation Sans" w:hAnsi="Liberation Sans" w:eastAsia="Liberation Sans"/>
          <w:b/>
          <w:i w:val="0"/>
          <w:color w:val="2B176E"/>
          <w:sz w:val="34"/>
        </w:rPr>
        <w:t>4. Descripteur de changement de coordonnées</w:t>
      </w:r>
    </w:p>
    <w:p>
      <w:pPr>
        <w:keepNext w:val="0"/>
        <w:spacing w:before="0" w:after="120" w:line="281" w:lineRule="auto"/>
      </w:pPr>
      <w:r>
        <w:rPr>
          <w:rFonts w:ascii="Liberation Sans" w:hAnsi="Liberation Sans" w:eastAsia="Liberation Sans"/>
          <w:b w:val="0"/>
          <w:i w:val="0"/>
          <w:color w:val="0F172A"/>
          <w:sz w:val="21"/>
        </w:rPr>
        <w:t>Avant tout poids ou toute distance, il est utile de pouvoir décrire ce qui a changé entre P et Q. On définit un descripteur de changement fini, sans lui attribuer de norme.</w:t>
      </w:r>
    </w:p>
    <w:p>
      <w:pPr>
        <w:keepNext w:val="0"/>
        <w:spacing w:before="80" w:after="80" w:line="240" w:lineRule="auto"/>
        <w:jc w:val="center"/>
      </w:pPr>
      <w:r>
        <w:rPr>
          <w:rFonts w:ascii="DejaVu Serif" w:hAnsi="DejaVu Serif" w:eastAsia="DejaVu Serif"/>
          <w:b/>
          <w:i w:val="0"/>
          <w:color w:val="2B176E"/>
          <w:sz w:val="25"/>
        </w:rPr>
        <w:t>C(P,Q) = (δλ, δφ, δψ)</w:t>
      </w:r>
    </w:p>
    <w:p>
      <w:pPr>
        <w:pStyle w:val="Heading2"/>
        <w:keepNext/>
        <w:spacing w:before="100" w:after="80" w:line="252" w:lineRule="auto"/>
      </w:pPr>
      <w:r>
        <w:rPr>
          <w:rFonts w:ascii="Liberation Sans" w:hAnsi="Liberation Sans" w:eastAsia="Liberation Sans"/>
          <w:b/>
          <w:i w:val="0"/>
          <w:color w:val="5232DB"/>
          <w:sz w:val="26"/>
        </w:rPr>
        <w:t>4.1. Longitude</w:t>
      </w:r>
    </w:p>
    <w:p>
      <w:pPr>
        <w:keepNext w:val="0"/>
        <w:spacing w:before="0" w:after="120" w:line="281" w:lineRule="auto"/>
      </w:pPr>
      <w:r>
        <w:rPr>
          <w:rFonts w:ascii="Liberation Sans" w:hAnsi="Liberation Sans" w:eastAsia="Liberation Sans"/>
          <w:b w:val="0"/>
          <w:i w:val="0"/>
          <w:color w:val="0F172A"/>
          <w:sz w:val="21"/>
        </w:rPr>
        <w:t>La différence longitudinale doit respecter la périodicité. La forme intrinsèque est une classe modulo 2π :</w:t>
      </w:r>
    </w:p>
    <w:p>
      <w:pPr>
        <w:keepNext w:val="0"/>
        <w:spacing w:before="80" w:after="80" w:line="240" w:lineRule="auto"/>
        <w:jc w:val="center"/>
      </w:pPr>
      <w:r>
        <w:rPr>
          <w:rFonts w:ascii="DejaVu Serif" w:hAnsi="DejaVu Serif" w:eastAsia="DejaVu Serif"/>
          <w:b/>
          <w:i w:val="0"/>
          <w:color w:val="2B176E"/>
          <w:sz w:val="25"/>
        </w:rPr>
        <w:t>δλ = [λ(Q) - λ(P)]  dans  ℝ / 2πℤ</w:t>
      </w:r>
    </w:p>
    <w:p>
      <w:pPr>
        <w:keepNext w:val="0"/>
        <w:spacing w:before="0" w:after="120" w:line="281" w:lineRule="auto"/>
      </w:pPr>
      <w:r>
        <w:rPr>
          <w:rFonts w:ascii="Liberation Sans" w:hAnsi="Liberation Sans" w:eastAsia="Liberation Sans"/>
          <w:b w:val="0"/>
          <w:i w:val="0"/>
          <w:color w:val="0F172A"/>
          <w:sz w:val="21"/>
        </w:rPr>
        <w:t>Si l’on choisit un représentant signé principal, il faut accepter une coupure conventionnelle et une ambiguïté au cas ±π. Le représentant n’est donc pas la structure intrinsèque elle-même.</w:t>
      </w:r>
    </w:p>
    <w:p>
      <w:pPr>
        <w:pStyle w:val="Heading2"/>
        <w:keepNext/>
        <w:spacing w:before="100" w:after="80" w:line="252" w:lineRule="auto"/>
      </w:pPr>
      <w:r>
        <w:rPr>
          <w:rFonts w:ascii="Liberation Sans" w:hAnsi="Liberation Sans" w:eastAsia="Liberation Sans"/>
          <w:b/>
          <w:i w:val="0"/>
          <w:color w:val="5232DB"/>
          <w:sz w:val="26"/>
        </w:rPr>
        <w:t>4.2. Latitude et logique</w:t>
      </w:r>
    </w:p>
    <w:p>
      <w:pPr>
        <w:keepNext w:val="0"/>
        <w:spacing w:before="80" w:after="80" w:line="240" w:lineRule="auto"/>
        <w:jc w:val="center"/>
      </w:pPr>
      <w:r>
        <w:rPr>
          <w:rFonts w:ascii="DejaVu Serif" w:hAnsi="DejaVu Serif" w:eastAsia="DejaVu Serif"/>
          <w:b/>
          <w:i w:val="0"/>
          <w:color w:val="2B176E"/>
          <w:sz w:val="25"/>
        </w:rPr>
        <w:t>δφ = φ(Q) - φ(P)</w:t>
      </w:r>
    </w:p>
    <w:p>
      <w:pPr>
        <w:keepNext w:val="0"/>
        <w:spacing w:before="80" w:after="80" w:line="240" w:lineRule="auto"/>
        <w:jc w:val="center"/>
      </w:pPr>
      <w:r>
        <w:rPr>
          <w:rFonts w:ascii="DejaVu Serif" w:hAnsi="DejaVu Serif" w:eastAsia="DejaVu Serif"/>
          <w:b/>
          <w:i w:val="0"/>
          <w:color w:val="2B176E"/>
          <w:sz w:val="25"/>
        </w:rPr>
        <w:t>δψ = ψ(Q) - ψ(P)</w:t>
      </w:r>
    </w:p>
    <w:p>
      <w:pPr>
        <w:keepNext w:val="0"/>
        <w:spacing w:before="0" w:after="120" w:line="281" w:lineRule="auto"/>
      </w:pPr>
      <w:r>
        <w:rPr>
          <w:rFonts w:ascii="Liberation Sans" w:hAnsi="Liberation Sans" w:eastAsia="Liberation Sans"/>
          <w:b w:val="0"/>
          <w:i w:val="0"/>
          <w:color w:val="0F172A"/>
          <w:sz w:val="21"/>
        </w:rPr>
        <w:t>Ces différences sont des informations algébriques sur les valeurs des coordonnées. Elles ne sont pas encore des longueurs.</w:t>
      </w:r>
    </w:p>
    <w:p>
      <w:pPr>
        <w:pStyle w:val="Heading2"/>
        <w:keepNext/>
        <w:spacing w:before="100" w:after="80" w:line="252" w:lineRule="auto"/>
      </w:pPr>
      <w:r>
        <w:rPr>
          <w:rFonts w:ascii="Liberation Sans" w:hAnsi="Liberation Sans" w:eastAsia="Liberation Sans"/>
          <w:b/>
          <w:i w:val="0"/>
          <w:color w:val="5232DB"/>
          <w:sz w:val="26"/>
        </w:rPr>
        <w:t>4.3. Ce que C n’est pas</w:t>
      </w:r>
    </w:p>
    <w:p>
      <w:pPr>
        <w:pStyle w:val="ListBullet"/>
        <w:keepNext w:val="0"/>
        <w:spacing w:before="0" w:after="60" w:line="269" w:lineRule="auto"/>
      </w:pPr>
      <w:r>
        <w:rPr>
          <w:rFonts w:ascii="Liberation Sans" w:hAnsi="Liberation Sans" w:eastAsia="Liberation Sans"/>
          <w:b w:val="0"/>
          <w:i w:val="0"/>
          <w:color w:val="0F172A"/>
          <w:sz w:val="20"/>
        </w:rPr>
        <w:t>C(P,Q) n’est pas un vecteur euclidien par défaut.</w:t>
      </w:r>
    </w:p>
    <w:p>
      <w:pPr>
        <w:pStyle w:val="ListBullet"/>
        <w:keepNext w:val="0"/>
        <w:spacing w:before="0" w:after="60" w:line="269" w:lineRule="auto"/>
      </w:pPr>
      <w:r>
        <w:rPr>
          <w:rFonts w:ascii="Liberation Sans" w:hAnsi="Liberation Sans" w:eastAsia="Liberation Sans"/>
          <w:b w:val="0"/>
          <w:i w:val="0"/>
          <w:color w:val="0F172A"/>
          <w:sz w:val="20"/>
        </w:rPr>
        <w:t>C(P,Q) n’est pas une distance.</w:t>
      </w:r>
    </w:p>
    <w:p>
      <w:pPr>
        <w:pStyle w:val="ListBullet"/>
        <w:keepNext w:val="0"/>
        <w:spacing w:before="0" w:after="60" w:line="269" w:lineRule="auto"/>
      </w:pPr>
      <w:r>
        <w:rPr>
          <w:rFonts w:ascii="Liberation Sans" w:hAnsi="Liberation Sans" w:eastAsia="Liberation Sans"/>
          <w:b w:val="0"/>
          <w:i w:val="0"/>
          <w:color w:val="0F172A"/>
          <w:sz w:val="20"/>
        </w:rPr>
        <w:t>C(P,Q) n’est pas une longueur de trajectoire.</w:t>
      </w:r>
    </w:p>
    <w:p>
      <w:pPr>
        <w:pStyle w:val="ListBullet"/>
        <w:keepNext w:val="0"/>
        <w:spacing w:before="0" w:after="60" w:line="269" w:lineRule="auto"/>
      </w:pPr>
      <w:r>
        <w:rPr>
          <w:rFonts w:ascii="Liberation Sans" w:hAnsi="Liberation Sans" w:eastAsia="Liberation Sans"/>
          <w:b w:val="0"/>
          <w:i w:val="0"/>
          <w:color w:val="0F172A"/>
          <w:sz w:val="20"/>
        </w:rPr>
        <w:t>C(P,Q) ne prouve pas que les valeurs intermédiaires ont été parcourues.</w:t>
      </w:r>
    </w:p>
    <w:p>
      <w:pPr>
        <w:pStyle w:val="ListBullet"/>
        <w:keepNext w:val="0"/>
        <w:spacing w:before="0" w:after="60" w:line="269" w:lineRule="auto"/>
      </w:pPr>
      <w:r>
        <w:rPr>
          <w:rFonts w:ascii="Liberation Sans" w:hAnsi="Liberation Sans" w:eastAsia="Liberation Sans"/>
          <w:b w:val="0"/>
          <w:i w:val="0"/>
          <w:color w:val="0F172A"/>
          <w:sz w:val="20"/>
        </w:rPr>
        <w:t>Le signe du changement et le poids géométrique du saut sont des notions séparées.</w:t>
      </w:r>
    </w:p>
    <w:p>
      <w:pPr>
        <w:pStyle w:val="Heading2"/>
        <w:keepNext/>
        <w:spacing w:before="100" w:after="80" w:line="252" w:lineRule="auto"/>
      </w:pPr>
      <w:r>
        <w:rPr>
          <w:rFonts w:ascii="Liberation Sans" w:hAnsi="Liberation Sans" w:eastAsia="Liberation Sans"/>
          <w:b/>
          <w:i w:val="0"/>
          <w:color w:val="5232DB"/>
          <w:sz w:val="26"/>
        </w:rPr>
        <w:t>4.4. Composition algébrique</w:t>
      </w:r>
    </w:p>
    <w:p>
      <w:pPr>
        <w:keepNext w:val="0"/>
        <w:spacing w:before="0" w:after="120" w:line="281" w:lineRule="auto"/>
      </w:pPr>
      <w:r>
        <w:rPr>
          <w:rFonts w:ascii="Liberation Sans" w:hAnsi="Liberation Sans" w:eastAsia="Liberation Sans"/>
          <w:b w:val="0"/>
          <w:i w:val="0"/>
          <w:color w:val="0F172A"/>
          <w:sz w:val="21"/>
        </w:rPr>
        <w:t>Pour une chaîne P → Q → R, les changements se composent par addition pour φ et ψ, et par addition modulo 2π pour λ. Cette propriété est algébrique et ne crée encore aucune métrique.</w:t>
      </w:r>
    </w:p>
    <w:p>
      <w:pPr>
        <w:keepNext w:val="0"/>
        <w:spacing w:before="80" w:after="80" w:line="240" w:lineRule="auto"/>
        <w:jc w:val="center"/>
      </w:pPr>
      <w:r>
        <w:rPr>
          <w:rFonts w:ascii="DejaVu Serif" w:hAnsi="DejaVu Serif" w:eastAsia="DejaVu Serif"/>
          <w:b/>
          <w:i w:val="0"/>
          <w:color w:val="2B176E"/>
          <w:sz w:val="25"/>
        </w:rPr>
        <w:t>C(P,R) = C(P,Q) ⊕ C(Q,R)</w:t>
      </w:r>
    </w:p>
    <w:p>
      <w:r>
        <w:br w:type="page"/>
      </w:r>
    </w:p>
    <w:p>
      <w:pPr>
        <w:pStyle w:val="Heading1"/>
        <w:keepNext/>
        <w:spacing w:before="160" w:after="80" w:line="252" w:lineRule="auto"/>
      </w:pPr>
      <w:r>
        <w:rPr>
          <w:rFonts w:ascii="Liberation Sans" w:hAnsi="Liberation Sans" w:eastAsia="Liberation Sans"/>
          <w:b/>
          <w:i w:val="0"/>
          <w:color w:val="2B176E"/>
          <w:sz w:val="34"/>
        </w:rPr>
        <w:t>5. Poids élémentaire du saut W</w:t>
      </w:r>
    </w:p>
    <w:p>
      <w:pPr>
        <w:keepNext w:val="0"/>
        <w:spacing w:before="0" w:after="120" w:line="281" w:lineRule="auto"/>
      </w:pPr>
      <w:r>
        <w:rPr>
          <w:rFonts w:ascii="Liberation Sans" w:hAnsi="Liberation Sans" w:eastAsia="Liberation Sans"/>
          <w:b w:val="0"/>
          <w:i w:val="0"/>
          <w:color w:val="0F172A"/>
          <w:sz w:val="21"/>
        </w:rPr>
        <w:t>W intervient seulement après que la position et le saut ont été définis. Il mesure une grandeur géométrique élémentaire associée au saut direct P → Q. Il n’est pas encore une distance entre P et Q.</w:t>
      </w:r>
    </w:p>
    <w:p>
      <w:pPr>
        <w:keepNext w:val="0"/>
        <w:spacing w:before="80" w:after="80" w:line="240" w:lineRule="auto"/>
        <w:jc w:val="center"/>
      </w:pPr>
      <w:r>
        <w:rPr>
          <w:rFonts w:ascii="DejaVu Serif" w:hAnsi="DejaVu Serif" w:eastAsia="DejaVu Serif"/>
          <w:b/>
          <w:i w:val="0"/>
          <w:color w:val="2B176E"/>
          <w:sz w:val="25"/>
        </w:rPr>
        <w:t>W : 𝓧 × 𝓧 → ℝ≥0</w:t>
      </w:r>
    </w:p>
    <w:p>
      <w:pPr>
        <w:pStyle w:val="Heading2"/>
        <w:keepNext/>
        <w:spacing w:before="100" w:after="80" w:line="252" w:lineRule="auto"/>
      </w:pPr>
      <w:r>
        <w:rPr>
          <w:rFonts w:ascii="Liberation Sans" w:hAnsi="Liberation Sans" w:eastAsia="Liberation Sans"/>
          <w:b/>
          <w:i w:val="0"/>
          <w:color w:val="5232DB"/>
          <w:sz w:val="26"/>
        </w:rPr>
        <w:t>5.1. Axiomes retenus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528"/>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Élément</w:t>
            </w:r>
          </w:p>
        </w:tc>
        <w:tc>
          <w:tcPr>
            <w:tcW w:type="dxa" w:w="1944"/>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Statut</w:t>
            </w:r>
          </w:p>
        </w:tc>
        <w:tc>
          <w:tcPr>
            <w:tcW w:type="dxa" w:w="4392"/>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Décision / portée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Saut nul</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W(P,P) = 0.</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Séparation</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 ≠ Q implique W(P,Q) &gt; 0, après canonicalisation des coordonnées.</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Symétrie</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W(P,Q) = W(Q,P). Les événements restent orientés, le poids ne l’est pas.</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Triangle sur W</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Aucune inégalité triangulaire n’est imposée au poids élémentaire.</w:t>
            </w:r>
          </w:p>
        </w:tc>
      </w:tr>
    </w:tbl>
    <w:p>
      <w:pPr>
        <w:spacing w:after="60"/>
      </w:pPr>
    </w:p>
    <w:p>
      <w:pPr>
        <w:pStyle w:val="Heading2"/>
        <w:keepNext/>
        <w:spacing w:before="100" w:after="80" w:line="252" w:lineRule="auto"/>
      </w:pPr>
      <w:r>
        <w:rPr>
          <w:rFonts w:ascii="Liberation Sans" w:hAnsi="Liberation Sans" w:eastAsia="Liberation Sans"/>
          <w:b/>
          <w:i w:val="0"/>
          <w:color w:val="5232DB"/>
          <w:sz w:val="26"/>
        </w:rPr>
        <w:t>5.2. Pourquoi W n’est pas une distance</w:t>
      </w:r>
    </w:p>
    <w:p>
      <w:pPr>
        <w:keepNext w:val="0"/>
        <w:spacing w:before="0" w:after="120" w:line="281" w:lineRule="auto"/>
      </w:pPr>
      <w:r>
        <w:rPr>
          <w:rFonts w:ascii="Liberation Sans" w:hAnsi="Liberation Sans" w:eastAsia="Liberation Sans"/>
          <w:b w:val="0"/>
          <w:i w:val="0"/>
          <w:color w:val="0F172A"/>
          <w:sz w:val="21"/>
        </w:rPr>
        <w:t>Un saut direct P → Q peut recevoir un poids plus grand que la somme des poids d’un détour P → R → Q. Ce n’est pas contradictoire : W pondère des arêtes directes. Imposer le triangle dès maintenant reviendrait à transformer prématurément W en distance.</w:t>
      </w:r>
    </w:p>
    <w:p>
      <w:pPr>
        <w:keepNext w:val="0"/>
        <w:spacing w:before="80" w:after="80" w:line="240" w:lineRule="auto"/>
        <w:jc w:val="center"/>
      </w:pPr>
      <w:r>
        <w:rPr>
          <w:rFonts w:ascii="DejaVu Serif" w:hAnsi="DejaVu Serif" w:eastAsia="DejaVu Serif"/>
          <w:b/>
          <w:i w:val="0"/>
          <w:color w:val="2B176E"/>
          <w:sz w:val="25"/>
        </w:rPr>
        <w:t>W(P,Q) peut être &gt; W(P,R) + W(R,Q)</w:t>
      </w:r>
    </w:p>
    <w:p>
      <w:pPr>
        <w:pStyle w:val="Heading2"/>
        <w:keepNext/>
        <w:spacing w:before="100" w:after="80" w:line="252" w:lineRule="auto"/>
      </w:pPr>
      <w:r>
        <w:rPr>
          <w:rFonts w:ascii="Liberation Sans" w:hAnsi="Liberation Sans" w:eastAsia="Liberation Sans"/>
          <w:b/>
          <w:i w:val="0"/>
          <w:color w:val="5232DB"/>
          <w:sz w:val="26"/>
        </w:rPr>
        <w:t>5.3. Homogénéité complète non retenue</w:t>
      </w:r>
    </w:p>
    <w:p>
      <w:pPr>
        <w:keepNext w:val="0"/>
        <w:spacing w:before="0" w:after="120" w:line="281" w:lineRule="auto"/>
      </w:pPr>
      <w:r>
        <w:rPr>
          <w:rFonts w:ascii="Liberation Sans" w:hAnsi="Liberation Sans" w:eastAsia="Liberation Sans"/>
          <w:b w:val="0"/>
          <w:i w:val="0"/>
          <w:color w:val="0F172A"/>
          <w:sz w:val="21"/>
        </w:rPr>
        <w:t>L’hypothèse W(P,Q) = w(δλ,δφ,δψ) a été testée. Elle n’est pas imposée par les coordonnées. La longitude admet une invariance naturelle par changement d’origine, mais la latitude et la coordonnée logique peuvent conserver des informations absolues pertinentes.</w:t>
      </w:r>
    </w:p>
    <w:tbl>
      <w:tblPr>
        <w:tblW w:type="auto" w:w="0"/>
        <w:jc w:val="center"/>
        <w:tblLayout w:type="autofit"/>
        <w:tblLook w:firstColumn="1" w:firstRow="1" w:lastColumn="0" w:lastRow="0" w:noHBand="0" w:noVBand="1" w:val="04A0"/>
      </w:tblPr>
      <w:tblGrid>
        <w:gridCol w:w="9994"/>
      </w:tblGrid>
      <w:tr>
        <w:tc>
          <w:tcPr>
            <w:tcW w:type="dxa" w:w="9994"/>
            <w:shd w:fill="FFFBEB"/>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B45309"/>
                <w:sz w:val="21"/>
              </w:rPr>
              <w:t>Conséquence</w:t>
            </w:r>
          </w:p>
          <w:p>
            <w:pPr>
              <w:keepNext w:val="0"/>
              <w:spacing w:before="0" w:after="0" w:line="271" w:lineRule="auto"/>
            </w:pPr>
            <w:r>
              <w:rPr>
                <w:rFonts w:ascii="Liberation Sans" w:hAnsi="Liberation Sans" w:eastAsia="Liberation Sans"/>
                <w:b w:val="0"/>
                <w:i w:val="0"/>
                <w:color w:val="0F172A"/>
                <w:sz w:val="20"/>
              </w:rPr>
              <w:t>Deux sauts ayant les mêmes différences numériques ne sont pas forcés d’avoir le même poids.</w:t>
            </w:r>
          </w:p>
        </w:tc>
      </w:tr>
    </w:tbl>
    <w:p>
      <w:pPr>
        <w:spacing w:after="20"/>
      </w:pPr>
    </w:p>
    <w:p>
      <w:pPr>
        <w:pStyle w:val="Heading2"/>
        <w:keepNext/>
        <w:spacing w:before="100" w:after="80" w:line="252" w:lineRule="auto"/>
      </w:pPr>
      <w:r>
        <w:rPr>
          <w:rFonts w:ascii="Liberation Sans" w:hAnsi="Liberation Sans" w:eastAsia="Liberation Sans"/>
          <w:b/>
          <w:i w:val="0"/>
          <w:color w:val="5232DB"/>
          <w:sz w:val="26"/>
        </w:rPr>
        <w:t>5.4. Invariance longitudinale retenue</w:t>
      </w:r>
    </w:p>
    <w:p>
      <w:pPr>
        <w:keepNext w:val="0"/>
        <w:spacing w:before="0" w:after="120" w:line="281" w:lineRule="auto"/>
      </w:pPr>
      <w:r>
        <w:rPr>
          <w:rFonts w:ascii="Liberation Sans" w:hAnsi="Liberation Sans" w:eastAsia="Liberation Sans"/>
          <w:b w:val="0"/>
          <w:i w:val="0"/>
          <w:color w:val="0F172A"/>
          <w:sz w:val="21"/>
        </w:rPr>
        <w:t>Le choix du méridien origine est conventionnel. Un décalage commun des deux longitudes ne doit donc pas changer le poids du saut :</w:t>
      </w:r>
    </w:p>
    <w:p>
      <w:pPr>
        <w:keepNext w:val="0"/>
        <w:spacing w:before="80" w:after="80" w:line="240" w:lineRule="auto"/>
        <w:jc w:val="center"/>
      </w:pPr>
      <w:r>
        <w:rPr>
          <w:rFonts w:ascii="DejaVu Serif" w:hAnsi="DejaVu Serif" w:eastAsia="DejaVu Serif"/>
          <w:b/>
          <w:i w:val="0"/>
          <w:color w:val="2B176E"/>
          <w:sz w:val="25"/>
        </w:rPr>
        <w:t>W((λ₁+α,φ₁,ψ₁),(λ₂+α,φ₂,ψ₂)) = W((λ₁,φ₁,ψ₁),(λ₂,φ₂,ψ₂))</w:t>
      </w:r>
    </w:p>
    <w:p>
      <w:pPr>
        <w:keepNext w:val="0"/>
        <w:spacing w:before="0" w:after="120" w:line="281" w:lineRule="auto"/>
      </w:pPr>
      <w:r>
        <w:rPr>
          <w:rFonts w:ascii="Liberation Sans" w:hAnsi="Liberation Sans" w:eastAsia="Liberation Sans"/>
          <w:b w:val="0"/>
          <w:i w:val="0"/>
          <w:color w:val="0F172A"/>
          <w:sz w:val="21"/>
        </w:rPr>
        <w:t>Une forme générale compatible avec cette invariance et la symétrie est donc de type :</w:t>
      </w:r>
    </w:p>
    <w:p>
      <w:pPr>
        <w:keepNext w:val="0"/>
        <w:spacing w:before="80" w:after="80" w:line="240" w:lineRule="auto"/>
        <w:jc w:val="center"/>
      </w:pPr>
      <w:r>
        <w:rPr>
          <w:rFonts w:ascii="DejaVu Serif" w:hAnsi="DejaVu Serif" w:eastAsia="DejaVu Serif"/>
          <w:b/>
          <w:i w:val="0"/>
          <w:color w:val="2B176E"/>
          <w:sz w:val="25"/>
        </w:rPr>
        <w:t>W(P,Q) = F([λ(Q)-λ(P)], φ(P), φ(Q), ψ(P), ψ(Q))</w:t>
      </w:r>
    </w:p>
    <w:p>
      <w:pPr>
        <w:keepNext w:val="0"/>
        <w:spacing w:before="0" w:after="120" w:line="281" w:lineRule="auto"/>
      </w:pPr>
      <w:r>
        <w:rPr>
          <w:rFonts w:ascii="Liberation Sans" w:hAnsi="Liberation Sans" w:eastAsia="Liberation Sans"/>
          <w:b w:val="0"/>
          <w:i w:val="0"/>
          <w:color w:val="0F172A"/>
          <w:sz w:val="21"/>
        </w:rPr>
        <w:t>Cette écriture ne constitue pas encore la formule finale de W ; elle indique seulement quelles dépendances restent admissibles après les tests.</w:t>
      </w:r>
    </w:p>
    <w:p>
      <w:r>
        <w:br w:type="page"/>
      </w:r>
    </w:p>
    <w:p>
      <w:pPr>
        <w:pStyle w:val="Heading1"/>
        <w:keepNext/>
        <w:spacing w:before="160" w:after="80" w:line="252" w:lineRule="auto"/>
      </w:pPr>
      <w:r>
        <w:rPr>
          <w:rFonts w:ascii="Liberation Sans" w:hAnsi="Liberation Sans" w:eastAsia="Liberation Sans"/>
          <w:b/>
          <w:i w:val="0"/>
          <w:color w:val="2B176E"/>
          <w:sz w:val="34"/>
        </w:rPr>
        <w:t>6. Ce que l’espace Makolo n’est pas à ce stade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528"/>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Élément</w:t>
            </w:r>
          </w:p>
        </w:tc>
        <w:tc>
          <w:tcPr>
            <w:tcW w:type="dxa" w:w="1944"/>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Statut</w:t>
            </w:r>
          </w:p>
        </w:tc>
        <w:tc>
          <w:tcPr>
            <w:tcW w:type="dxa" w:w="4392"/>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Décision / portée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R³ euclidien</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Trois coordonnées numériques ne suffisent pas à imposer la métrique euclidienne.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Variété riemannienne continue</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Le mouvement primitif n’exige pas une interpolation continue ni un ds² commun.</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Ancien couple (g,i)</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La géométrie commune travaille désormais directement avec λ, φ, ψ.</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Combinaison de d_G et d_L</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Aucune distance héritée n’est prise comme matériau de départ.</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Graphe logique comme trajectoire</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Le graphe construit/interprète ψ ; il ne dicte pas le parcours de l’objet.</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|Δψ| comme longueur logique</w:t>
            </w:r>
          </w:p>
        </w:tc>
        <w:tc>
          <w:tcPr>
            <w:tcW w:type="dxa" w:w="3331"/>
            <w:tcMar>
              <w:top w:w="105" w:type="dxa"/>
              <w:start w:w="120" w:type="dxa"/>
              <w:bottom w:w="105" w:type="dxa"/>
              <w:end w:w="120" w:type="dxa"/>
            </w:tcMar>
            <w:vAlign w:val="center"/>
            <w:shd w:fill="EEE9FF"/>
          </w:tcPr>
          <w:p>
            <w:pPr>
              <w:keepNext w:val="0"/>
              <w:spacing w:before="0" w:after="0" w:line="259" w:lineRule="auto"/>
              <w:jc w:val="center"/>
            </w:pPr>
            <w:r>
              <w:rPr>
                <w:rFonts w:ascii="Liberation Sans" w:hAnsi="Liberation Sans" w:eastAsia="Liberation Sans"/>
                <w:b/>
                <w:i w:val="0"/>
                <w:color w:val="2B176E"/>
                <w:sz w:val="18"/>
              </w:rPr>
              <w:t>À DÉTERMINER</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ψ est une coordonnée ; son écart numérique n’est pas automatiquement géométrique.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Continuité du mouvement</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Les coordonnées peuvent être réelles sans que les états successifs forment une courbe continue.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Voisinage numérique = saut autorisé</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La relocalisation libre autorise des sauts finis entre positions admissibles.</w:t>
            </w:r>
          </w:p>
        </w:tc>
      </w:tr>
    </w:tbl>
    <w:p>
      <w:pPr>
        <w:spacing w:after="60"/>
      </w:pPr>
    </w:p>
    <w:p>
      <w:pPr>
        <w:pStyle w:val="Heading2"/>
        <w:keepNext/>
        <w:spacing w:before="100" w:after="80" w:line="252" w:lineRule="auto"/>
      </w:pPr>
      <w:r>
        <w:rPr>
          <w:rFonts w:ascii="Liberation Sans" w:hAnsi="Liberation Sans" w:eastAsia="Liberation Sans"/>
          <w:b/>
          <w:i w:val="0"/>
          <w:color w:val="5232DB"/>
          <w:sz w:val="26"/>
        </w:rPr>
        <w:t>6.1. Distinction entre espace des valeurs et histoire</w:t>
      </w:r>
    </w:p>
    <w:p>
      <w:pPr>
        <w:keepNext w:val="0"/>
        <w:spacing w:before="0" w:after="120" w:line="281" w:lineRule="auto"/>
      </w:pPr>
      <w:r>
        <w:rPr>
          <w:rFonts w:ascii="Liberation Sans" w:hAnsi="Liberation Sans" w:eastAsia="Liberation Sans"/>
          <w:b w:val="0"/>
          <w:i w:val="0"/>
          <w:color w:val="0F172A"/>
          <w:sz w:val="21"/>
        </w:rPr>
        <w:t>Le domaine d’une coordonnée peut être continu ou dense tandis que la suite des états occupés reste discrète ou événementielle. Le caractère « réel » d’une coordonnée ne dit rien, à lui seul, sur la granularité temporelle des changements observés.</w:t>
      </w:r>
    </w:p>
    <w:p>
      <w:r>
        <w:br w:type="page"/>
      </w:r>
    </w:p>
    <w:p>
      <w:pPr>
        <w:pStyle w:val="Heading1"/>
        <w:keepNext/>
        <w:spacing w:before="160" w:after="80" w:line="252" w:lineRule="auto"/>
      </w:pPr>
      <w:r>
        <w:rPr>
          <w:rFonts w:ascii="Liberation Sans" w:hAnsi="Liberation Sans" w:eastAsia="Liberation Sans"/>
          <w:b/>
          <w:i w:val="0"/>
          <w:color w:val="2B176E"/>
          <w:sz w:val="34"/>
        </w:rPr>
        <w:t>7. Pièges méthodologiques à ne plus réintroduire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2"/>
            <w:shd w:fill="EEE9FF"/>
            <w:tcMar>
              <w:top w:w="100" w:type="dxa"/>
              <w:start w:w="110" w:type="dxa"/>
              <w:bottom w:w="100" w:type="dxa"/>
              <w:end w:w="110" w:type="dxa"/>
            </w:tcMar>
          </w:tcPr>
          <w:p>
            <w:pPr>
              <w:keepNext w:val="0"/>
              <w:spacing w:before="0" w:after="0" w:line="240" w:lineRule="auto"/>
              <w:jc w:val="center"/>
            </w:pPr>
            <w:r>
              <w:rPr>
                <w:rFonts w:ascii="Liberation Sans" w:hAnsi="Liberation Sans" w:eastAsia="Liberation Sans"/>
                <w:b/>
                <w:i w:val="0"/>
                <w:color w:val="2B176E"/>
                <w:sz w:val="18"/>
              </w:rPr>
              <w:t>Piège</w:t>
            </w:r>
          </w:p>
        </w:tc>
        <w:tc>
          <w:tcPr>
            <w:tcW w:type="dxa" w:w="6480"/>
            <w:shd w:fill="EEE9FF"/>
            <w:tcMar>
              <w:top w:w="100" w:type="dxa"/>
              <w:start w:w="110" w:type="dxa"/>
              <w:bottom w:w="100" w:type="dxa"/>
              <w:end w:w="110" w:type="dxa"/>
            </w:tcMar>
          </w:tcPr>
          <w:p>
            <w:pPr>
              <w:keepNext w:val="0"/>
              <w:spacing w:before="0" w:after="0" w:line="240" w:lineRule="auto"/>
              <w:jc w:val="center"/>
            </w:pPr>
            <w:r>
              <w:rPr>
                <w:rFonts w:ascii="Liberation Sans" w:hAnsi="Liberation Sans" w:eastAsia="Liberation Sans"/>
                <w:b/>
                <w:i w:val="0"/>
                <w:color w:val="2B176E"/>
                <w:sz w:val="18"/>
              </w:rPr>
              <w:t>Correction</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Trois nombres ⇒ espace cartésien</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Une représentation par (λ,φ,ψ) ne détermine aucune métrique.</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Valeur réelle ⇒ mouvement continu</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Les états peuvent changer par saut.</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Différence numérique ⇒ distance</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Δλ, Δφ, Δψ sont d’abord des changements de coordonnées.</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Construction ⇒ mouvement</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WGS84 et le graphe logique construisent/interprètent les coordonnées ; ils ne dictent pas les sauts.</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Profondeur depuis ε = ψ</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Une éventuelle profondeur ρ(ℓ) est distincte de ψ = E_I(ℓ).</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W = distance</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à ce stade. W est un poids d’arête / saut direct.</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Triangle imposé à W</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Non. Cela serait un choix supplémentaire et prématuré.</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Même Δ ⇒ même W</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Non imposé. L’homogénéité complète a été rejetée comme nécessité.</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 = 0 ou ε</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L’absence d’une coordonnée n’est pas une valeur de cette coordonnée.</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λ et φ doivent toujours être présentes ensemble</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Non comme axiome géométrique général.</w:t>
            </w:r>
          </w:p>
        </w:tc>
      </w:tr>
      <w:tr>
        <w:tc>
          <w:tcPr>
            <w:tcW w:type="dxa" w:w="331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Représentations différentes = positions différentes</w:t>
            </w:r>
          </w:p>
        </w:tc>
        <w:tc>
          <w:tcPr>
            <w:tcW w:type="dxa" w:w="648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Faux. Canonicaliser les identifications, notamment en longitude et aux pôles.</w:t>
            </w:r>
          </w:p>
        </w:tc>
      </w:tr>
    </w:tbl>
    <w:p>
      <w:pPr>
        <w:spacing w:after="60"/>
      </w:pPr>
    </w:p>
    <w:p>
      <w:r>
        <w:br w:type="page"/>
      </w:r>
    </w:p>
    <w:p>
      <w:pPr>
        <w:pStyle w:val="Heading1"/>
        <w:keepNext/>
        <w:spacing w:before="160" w:after="80" w:line="252" w:lineRule="auto"/>
      </w:pPr>
      <w:r>
        <w:rPr>
          <w:rFonts w:ascii="Liberation Sans" w:hAnsi="Liberation Sans" w:eastAsia="Liberation Sans"/>
          <w:b/>
          <w:i w:val="0"/>
          <w:color w:val="2B176E"/>
          <w:sz w:val="34"/>
        </w:rPr>
        <w:t>8. Tests préparatoires déjà franchis</w:t>
      </w:r>
    </w:p>
    <w:p>
      <w:pPr>
        <w:keepNext w:val="0"/>
        <w:spacing w:before="0" w:after="120" w:line="281" w:lineRule="auto"/>
      </w:pPr>
      <w:r>
        <w:rPr>
          <w:rFonts w:ascii="Liberation Sans" w:hAnsi="Liberation Sans" w:eastAsia="Liberation Sans"/>
          <w:b w:val="0"/>
          <w:i w:val="0"/>
          <w:color w:val="0F172A"/>
          <w:sz w:val="21"/>
        </w:rPr>
        <w:t>Les tests ont été utilisés pour éliminer des hypothèses avant de chercher une formule. Le tableau ci-dessous résume les résultats qui ont structuré le socle actuel.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032"/>
            <w:shd w:fill="EEE9FF"/>
            <w:tcMar>
              <w:top w:w="100" w:type="dxa"/>
              <w:start w:w="110" w:type="dxa"/>
              <w:bottom w:w="100" w:type="dxa"/>
              <w:end w:w="110" w:type="dxa"/>
            </w:tcMar>
          </w:tcPr>
          <w:p>
            <w:pPr>
              <w:keepNext w:val="0"/>
              <w:spacing w:before="0" w:after="0" w:line="240" w:lineRule="auto"/>
              <w:jc w:val="center"/>
            </w:pPr>
            <w:r>
              <w:rPr>
                <w:rFonts w:ascii="Liberation Sans" w:hAnsi="Liberation Sans" w:eastAsia="Liberation Sans"/>
                <w:b/>
                <w:i w:val="0"/>
                <w:color w:val="2B176E"/>
                <w:sz w:val="18"/>
              </w:rPr>
              <w:t>Test</w:t>
            </w:r>
          </w:p>
        </w:tc>
        <w:tc>
          <w:tcPr>
            <w:tcW w:type="dxa" w:w="5760"/>
            <w:shd w:fill="EEE9FF"/>
            <w:tcMar>
              <w:top w:w="100" w:type="dxa"/>
              <w:start w:w="110" w:type="dxa"/>
              <w:bottom w:w="100" w:type="dxa"/>
              <w:end w:w="110" w:type="dxa"/>
            </w:tcMar>
          </w:tcPr>
          <w:p>
            <w:pPr>
              <w:keepNext w:val="0"/>
              <w:spacing w:before="0" w:after="0" w:line="240" w:lineRule="auto"/>
              <w:jc w:val="center"/>
            </w:pPr>
            <w:r>
              <w:rPr>
                <w:rFonts w:ascii="Liberation Sans" w:hAnsi="Liberation Sans" w:eastAsia="Liberation Sans"/>
                <w:b/>
                <w:i w:val="0"/>
                <w:color w:val="2B176E"/>
                <w:sz w:val="18"/>
              </w:rPr>
              <w:t>Résultat consolidé</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λ : saut A → A+10</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Aucun passage par A+1,…,A+9 n’est imposé.</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φ : saut fini</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Même conclusion ; la valeur réelle n’impose pas une courbe continue.</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ψ : changement de locus</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Le saut ψ₁ → ψ₂ ne reparcourt pas le graphe logique.</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Une seule coordonnée change</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Transition valide.</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Deux ou trois coordonnées changent</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Transition atomique valide ; aucune décomposition obligatoire.</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P → R contre P → Q → R</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Histoires distinctes malgré les mêmes extrémités.</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Retour Q → P</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Transition admissible ; le poids est symétrique.</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Même changement numérique à deux endroits</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Ne force pas l’égalité des poids W.</w:t>
            </w:r>
          </w:p>
        </w:tc>
      </w:tr>
      <w:tr>
        <w:tc>
          <w:tcPr>
            <w:tcW w:type="dxa" w:w="4032"/>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Saut direct plus lourd qu’un détour</w:t>
            </w:r>
          </w:p>
        </w:tc>
        <w:tc>
          <w:tcPr>
            <w:tcW w:type="dxa" w:w="5760"/>
            <w:tcMar>
              <w:top w:w="100" w:type="dxa"/>
              <w:start w:w="110" w:type="dxa"/>
              <w:bottom w:w="100" w:type="dxa"/>
              <w:end w:w="110" w:type="dxa"/>
            </w:tcMar>
            <w:vAlign w:val="center"/>
          </w:tcPr>
          <w:p>
            <w:pPr>
              <w:keepNext w:val="0"/>
              <w:spacing w:before="0" w:after="0" w:line="259" w:lineRule="auto"/>
              <w:jc w:val="left"/>
            </w:pPr>
            <w:r>
              <w:rPr>
                <w:rFonts w:ascii="Liberation Sans" w:hAnsi="Liberation Sans" w:eastAsia="Liberation Sans"/>
                <w:b w:val="0"/>
                <w:i w:val="0"/>
                <w:color w:val="0F172A"/>
                <w:sz w:val="18"/>
              </w:rPr>
              <w:t>Compatible avec W, puisque W n’est pas encore une distance.</w:t>
            </w:r>
          </w:p>
        </w:tc>
      </w:tr>
    </w:tbl>
    <w:p>
      <w:pPr>
        <w:spacing w:after="60"/>
      </w:pPr>
    </w:p>
    <w:p>
      <w:pPr>
        <w:pStyle w:val="Heading2"/>
        <w:keepNext/>
        <w:spacing w:before="100" w:after="80" w:line="252" w:lineRule="auto"/>
      </w:pPr>
      <w:r>
        <w:rPr>
          <w:rFonts w:ascii="Liberation Sans" w:hAnsi="Liberation Sans" w:eastAsia="Liberation Sans"/>
          <w:b/>
          <w:i w:val="0"/>
          <w:color w:val="5232DB"/>
          <w:sz w:val="26"/>
        </w:rPr>
        <w:t>8.1. Exemples de changement sans interpolation</w:t>
      </w:r>
    </w:p>
    <w:p>
      <w:pPr>
        <w:keepNext w:val="0"/>
        <w:spacing w:before="80" w:after="80" w:line="240" w:lineRule="auto"/>
        <w:jc w:val="center"/>
      </w:pPr>
      <w:r>
        <w:rPr>
          <w:rFonts w:ascii="DejaVu Serif" w:hAnsi="DejaVu Serif" w:eastAsia="DejaVu Serif"/>
          <w:b/>
          <w:i w:val="0"/>
          <w:color w:val="2B176E"/>
          <w:sz w:val="25"/>
        </w:rPr>
        <w:t>(λ, φ, ψ) → (λ+10°, φ, ψ)</w:t>
      </w:r>
    </w:p>
    <w:p>
      <w:pPr>
        <w:keepNext w:val="0"/>
        <w:spacing w:before="80" w:after="80" w:line="240" w:lineRule="auto"/>
        <w:jc w:val="center"/>
      </w:pPr>
      <w:r>
        <w:rPr>
          <w:rFonts w:ascii="DejaVu Serif" w:hAnsi="DejaVu Serif" w:eastAsia="DejaVu Serif"/>
          <w:b/>
          <w:i w:val="0"/>
          <w:color w:val="2B176E"/>
          <w:sz w:val="25"/>
        </w:rPr>
        <w:t>(λ, φ, ψ) → (λ, φ+Δφ, ψ)</w:t>
      </w:r>
    </w:p>
    <w:p>
      <w:pPr>
        <w:keepNext w:val="0"/>
        <w:spacing w:before="80" w:after="80" w:line="240" w:lineRule="auto"/>
        <w:jc w:val="center"/>
      </w:pPr>
      <w:r>
        <w:rPr>
          <w:rFonts w:ascii="DejaVu Serif" w:hAnsi="DejaVu Serif" w:eastAsia="DejaVu Serif"/>
          <w:b/>
          <w:i w:val="0"/>
          <w:color w:val="2B176E"/>
          <w:sz w:val="25"/>
        </w:rPr>
        <w:t>(λ, φ, ψ) → (λ, φ, ψ+546)    si les deux valeurs appartiennent à Ψ</w:t>
      </w:r>
    </w:p>
    <w:p>
      <w:pPr>
        <w:keepNext w:val="0"/>
        <w:spacing w:before="0" w:after="120" w:line="281" w:lineRule="auto"/>
      </w:pPr>
      <w:r>
        <w:rPr>
          <w:rFonts w:ascii="Liberation Sans" w:hAnsi="Liberation Sans" w:eastAsia="Liberation Sans"/>
          <w:b w:val="0"/>
          <w:i w:val="0"/>
          <w:color w:val="0F172A"/>
          <w:sz w:val="21"/>
        </w:rPr>
        <w:t>Ces écritures illustrent uniquement un saut d’état. Elles ne déclarent pas que les incréments affichés constituent des unités de longueur ou que les valeurs intermédiaires sont parcourues.</w:t>
      </w:r>
    </w:p>
    <w:p>
      <w:r>
        <w:br w:type="page"/>
      </w:r>
    </w:p>
    <w:p>
      <w:pPr>
        <w:pStyle w:val="Heading1"/>
        <w:keepNext/>
        <w:spacing w:before="160" w:after="80" w:line="252" w:lineRule="auto"/>
      </w:pPr>
      <w:r>
        <w:rPr>
          <w:rFonts w:ascii="Liberation Sans" w:hAnsi="Liberation Sans" w:eastAsia="Liberation Sans"/>
          <w:b/>
          <w:i w:val="0"/>
          <w:color w:val="2B176E"/>
          <w:sz w:val="34"/>
        </w:rPr>
        <w:t>9. Registre consolidé des décisions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528"/>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Élément</w:t>
            </w:r>
          </w:p>
        </w:tc>
        <w:tc>
          <w:tcPr>
            <w:tcW w:type="dxa" w:w="1944"/>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Statut</w:t>
            </w:r>
          </w:p>
        </w:tc>
        <w:tc>
          <w:tcPr>
            <w:tcW w:type="dxa" w:w="4392"/>
            <w:shd w:fill="2B176E"/>
            <w:tcMar>
              <w:top w:w="110" w:type="dxa"/>
              <w:start w:w="120" w:type="dxa"/>
              <w:bottom w:w="110" w:type="dxa"/>
              <w:end w:w="120" w:type="dxa"/>
            </w:tcMar>
            <w:vAlign w:val="center"/>
          </w:tcPr>
          <w:p>
            <w:pPr>
              <w:keepNext w:val="0"/>
              <w:spacing w:before="0" w:after="0" w:line="240" w:lineRule="auto"/>
              <w:jc w:val="center"/>
            </w:pPr>
            <w:r>
              <w:rPr>
                <w:rFonts w:ascii="Liberation Sans" w:hAnsi="Liberation Sans" w:eastAsia="Liberation Sans"/>
                <w:b/>
                <w:i w:val="0"/>
                <w:color w:val="FFFFFF"/>
                <w:sz w:val="19"/>
              </w:rPr>
              <w:t>Décision / portée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λ = longitude</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Coordonnée angulaire, périodique.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φ = latitude</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Coordonnée scalaire bornée.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ψ = E_I(ℓ)</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Coordonnée logique scalaire issue de la couche de construction.</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 = (λ,φ,ψ)</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Position complète de travail.</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𝓧 = Λ×Φ×Ψ</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Espace des positions complètes.</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X̂ avec absences indépendantes</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Extension simple pour positions partielles, hors état totalement vide.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Relocalisation libre</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Toute paire de positions admissibles peut former un saut direct.</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Interpolation obligatoire</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Aucun état intermédiaire n’est impliqué par un saut.</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C(P,Q)</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Descripteur de changement, sans norme ni distance.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W(P,P)=0</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Poids nul uniquement pour le saut nul.</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P≠Q ⇒ W(P,Q)&gt;0</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Positivité stricte après canonicalisation.</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W symétrique</w:t>
            </w:r>
          </w:p>
        </w:tc>
        <w:tc>
          <w:tcPr>
            <w:tcW w:type="dxa" w:w="3331"/>
            <w:tcMar>
              <w:top w:w="105" w:type="dxa"/>
              <w:start w:w="120" w:type="dxa"/>
              <w:bottom w:w="105" w:type="dxa"/>
              <w:end w:w="120" w:type="dxa"/>
            </w:tcMar>
            <w:vAlign w:val="center"/>
            <w:shd w:fill="ECFDF5"/>
          </w:tcPr>
          <w:p>
            <w:pPr>
              <w:keepNext w:val="0"/>
              <w:spacing w:before="0" w:after="0" w:line="259" w:lineRule="auto"/>
              <w:jc w:val="center"/>
            </w:pPr>
            <w:r>
              <w:rPr>
                <w:rFonts w:ascii="Liberation Sans" w:hAnsi="Liberation Sans" w:eastAsia="Liberation Sans"/>
                <w:b/>
                <w:i w:val="0"/>
                <w:color w:val="047857"/>
                <w:sz w:val="18"/>
              </w:rPr>
              <w:t>RETENU</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W(P,Q)=W(Q,P).</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Triangle sur W</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Non requis pour un poids élémentaire.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W = w(C) uniquement</w:t>
            </w:r>
          </w:p>
        </w:tc>
        <w:tc>
          <w:tcPr>
            <w:tcW w:type="dxa" w:w="3331"/>
            <w:tcMar>
              <w:top w:w="105" w:type="dxa"/>
              <w:start w:w="120" w:type="dxa"/>
              <w:bottom w:w="105" w:type="dxa"/>
              <w:end w:w="120" w:type="dxa"/>
            </w:tcMar>
            <w:vAlign w:val="center"/>
            <w:shd w:fill="FFF1F2"/>
          </w:tcPr>
          <w:p>
            <w:pPr>
              <w:keepNext w:val="0"/>
              <w:spacing w:before="0" w:after="0" w:line="259" w:lineRule="auto"/>
              <w:jc w:val="center"/>
            </w:pPr>
            <w:r>
              <w:rPr>
                <w:rFonts w:ascii="Liberation Sans" w:hAnsi="Liberation Sans" w:eastAsia="Liberation Sans"/>
                <w:b/>
                <w:i w:val="0"/>
                <w:color w:val="BE123C"/>
                <w:sz w:val="18"/>
              </w:rPr>
              <w:t>SANS ÉQUIVALENT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Homogénéité complète non imposée.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Symétrie Nord-Sud</w:t>
            </w:r>
          </w:p>
        </w:tc>
        <w:tc>
          <w:tcPr>
            <w:tcW w:type="dxa" w:w="3331"/>
            <w:tcMar>
              <w:top w:w="105" w:type="dxa"/>
              <w:start w:w="120" w:type="dxa"/>
              <w:bottom w:w="105" w:type="dxa"/>
              <w:end w:w="120" w:type="dxa"/>
            </w:tcMar>
            <w:vAlign w:val="center"/>
            <w:shd w:fill="EEE9FF"/>
          </w:tcPr>
          <w:p>
            <w:pPr>
              <w:keepNext w:val="0"/>
              <w:spacing w:before="0" w:after="0" w:line="259" w:lineRule="auto"/>
              <w:jc w:val="center"/>
            </w:pPr>
            <w:r>
              <w:rPr>
                <w:rFonts w:ascii="Liberation Sans" w:hAnsi="Liberation Sans" w:eastAsia="Liberation Sans"/>
                <w:b/>
                <w:i w:val="0"/>
                <w:color w:val="2B176E"/>
                <w:sz w:val="18"/>
              </w:rPr>
              <w:t>À DÉTERMINER</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Possible mais non nécessaire pour l’instant.</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Formule exacte de W</w:t>
            </w:r>
          </w:p>
        </w:tc>
        <w:tc>
          <w:tcPr>
            <w:tcW w:type="dxa" w:w="3331"/>
            <w:tcMar>
              <w:top w:w="105" w:type="dxa"/>
              <w:start w:w="120" w:type="dxa"/>
              <w:bottom w:w="105" w:type="dxa"/>
              <w:end w:w="120" w:type="dxa"/>
            </w:tcMar>
            <w:vAlign w:val="center"/>
            <w:shd w:fill="EEE9FF"/>
          </w:tcPr>
          <w:p>
            <w:pPr>
              <w:keepNext w:val="0"/>
              <w:spacing w:before="0" w:after="0" w:line="259" w:lineRule="auto"/>
              <w:jc w:val="center"/>
            </w:pPr>
            <w:r>
              <w:rPr>
                <w:rFonts w:ascii="Liberation Sans" w:hAnsi="Liberation Sans" w:eastAsia="Liberation Sans"/>
                <w:b/>
                <w:i w:val="0"/>
                <w:color w:val="2B176E"/>
                <w:sz w:val="18"/>
              </w:rPr>
              <w:t>À DÉTERMINER</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Prochaine phase de recherche.</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Longueur de trajectoire</w:t>
            </w:r>
          </w:p>
        </w:tc>
        <w:tc>
          <w:tcPr>
            <w:tcW w:type="dxa" w:w="3331"/>
            <w:tcMar>
              <w:top w:w="105" w:type="dxa"/>
              <w:start w:w="120" w:type="dxa"/>
              <w:bottom w:w="105" w:type="dxa"/>
              <w:end w:w="120" w:type="dxa"/>
            </w:tcMar>
            <w:vAlign w:val="center"/>
            <w:shd w:fill="FFFBEB"/>
          </w:tcPr>
          <w:p>
            <w:pPr>
              <w:keepNext w:val="0"/>
              <w:spacing w:before="0" w:after="0" w:line="259" w:lineRule="auto"/>
              <w:jc w:val="center"/>
            </w:pPr>
            <w:r>
              <w:rPr>
                <w:rFonts w:ascii="Liberation Sans" w:hAnsi="Liberation Sans" w:eastAsia="Liberation Sans"/>
                <w:b/>
                <w:i w:val="0"/>
                <w:color w:val="B45309"/>
                <w:sz w:val="18"/>
              </w:rPr>
              <w:t>CANDIDAT</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Une somme de poids pourra être testée après W.</w:t>
            </w:r>
          </w:p>
        </w:tc>
      </w:tr>
      <w:tr>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Distance Makolo</w:t>
            </w:r>
          </w:p>
        </w:tc>
        <w:tc>
          <w:tcPr>
            <w:tcW w:type="dxa" w:w="3331"/>
            <w:tcMar>
              <w:top w:w="105" w:type="dxa"/>
              <w:start w:w="120" w:type="dxa"/>
              <w:bottom w:w="105" w:type="dxa"/>
              <w:end w:w="120" w:type="dxa"/>
            </w:tcMar>
            <w:vAlign w:val="center"/>
            <w:shd w:fill="EEE9FF"/>
          </w:tcPr>
          <w:p>
            <w:pPr>
              <w:keepNext w:val="0"/>
              <w:spacing w:before="0" w:after="0" w:line="259" w:lineRule="auto"/>
              <w:jc w:val="center"/>
            </w:pPr>
            <w:r>
              <w:rPr>
                <w:rFonts w:ascii="Liberation Sans" w:hAnsi="Liberation Sans" w:eastAsia="Liberation Sans"/>
                <w:b/>
                <w:i w:val="0"/>
                <w:color w:val="2B176E"/>
                <w:sz w:val="18"/>
              </w:rPr>
              <w:t>À DÉTERMINER</w:t>
            </w:r>
          </w:p>
        </w:tc>
        <w:tc>
          <w:tcPr>
            <w:tcW w:type="dxa" w:w="3331"/>
            <w:tcMar>
              <w:top w:w="105" w:type="dxa"/>
              <w:start w:w="120" w:type="dxa"/>
              <w:bottom w:w="105" w:type="dxa"/>
              <w:end w:w="120" w:type="dxa"/>
            </w:tcMar>
            <w:vAlign w:val="center"/>
          </w:tcPr>
          <w:p>
            <w:pPr>
              <w:keepNext w:val="0"/>
              <w:spacing w:before="0" w:after="0" w:line="259" w:lineRule="auto"/>
              <w:jc w:val="left"/>
            </w:pPr>
            <w:r>
              <w:rPr>
                <w:rFonts w:ascii="Liberation Sans" w:hAnsi="Liberation Sans" w:eastAsia="Liberation Sans"/>
                <w:b w:val="0"/>
                <w:i w:val="0"/>
                <w:color w:val="0F172A"/>
                <w:sz w:val="18"/>
              </w:rPr>
              <w:t>Ne sera étudiée qu’après W et les trajectoires pondérées.</w:t>
            </w:r>
          </w:p>
        </w:tc>
      </w:tr>
    </w:tbl>
    <w:p>
      <w:pPr>
        <w:spacing w:after="60"/>
      </w:pPr>
    </w:p>
    <w:p>
      <w:r>
        <w:br w:type="page"/>
      </w:r>
    </w:p>
    <w:p>
      <w:pPr>
        <w:pStyle w:val="Heading1"/>
        <w:keepNext/>
        <w:spacing w:before="160" w:after="80" w:line="252" w:lineRule="auto"/>
      </w:pPr>
      <w:r>
        <w:rPr>
          <w:rFonts w:ascii="Liberation Sans" w:hAnsi="Liberation Sans" w:eastAsia="Liberation Sans"/>
          <w:b/>
          <w:i w:val="0"/>
          <w:color w:val="2B176E"/>
          <w:sz w:val="34"/>
        </w:rPr>
        <w:t>10. Spécification compacte du socle</w:t>
      </w:r>
    </w:p>
    <w:tbl>
      <w:tblPr>
        <w:tblW w:type="auto" w:w="0"/>
        <w:jc w:val="center"/>
        <w:tblLayout w:type="autofit"/>
        <w:tblLook w:firstColumn="1" w:firstRow="1" w:lastColumn="0" w:lastRow="0" w:noHBand="0" w:noVBand="1" w:val="04A0"/>
      </w:tblPr>
      <w:tblGrid>
        <w:gridCol w:w="9994"/>
      </w:tblGrid>
      <w:tr>
        <w:tc>
          <w:tcPr>
            <w:tcW w:type="dxa" w:w="9994"/>
            <w:shd w:fill="EEE9FF"/>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2B176E"/>
                <w:sz w:val="21"/>
              </w:rPr>
              <w:t>Définition opérationnelle</w:t>
            </w:r>
          </w:p>
          <w:p>
            <w:pPr>
              <w:keepNext w:val="0"/>
              <w:spacing w:before="0" w:after="0" w:line="271" w:lineRule="auto"/>
            </w:pPr>
            <w:r>
              <w:rPr>
                <w:rFonts w:ascii="Liberation Sans" w:hAnsi="Liberation Sans" w:eastAsia="Liberation Sans"/>
                <w:b w:val="0"/>
                <w:i w:val="0"/>
                <w:color w:val="0F172A"/>
                <w:sz w:val="20"/>
              </w:rPr>
              <w:t>La géométrie commune commence par un espace de positions à trois coordonnées et une relocalisation libre. Le poids W est attaché aux sauts directs ; il est positif, défini et symétrique, mais n’est pas encore soumis au triangle.</w:t>
            </w:r>
          </w:p>
        </w:tc>
      </w:tr>
    </w:tbl>
    <w:p>
      <w:pPr>
        <w:spacing w:after="20"/>
      </w:pPr>
    </w:p>
    <w:p>
      <w:pPr>
        <w:keepNext w:val="0"/>
        <w:spacing w:before="80" w:after="80" w:line="240" w:lineRule="auto"/>
        <w:jc w:val="center"/>
      </w:pPr>
      <w:r>
        <w:rPr>
          <w:rFonts w:ascii="DejaVu Serif" w:hAnsi="DejaVu Serif" w:eastAsia="DejaVu Serif"/>
          <w:b/>
          <w:i w:val="0"/>
          <w:color w:val="2B176E"/>
          <w:sz w:val="25"/>
        </w:rPr>
        <w:t>P = (λ, φ, ψ)</w:t>
      </w:r>
    </w:p>
    <w:p>
      <w:pPr>
        <w:keepNext w:val="0"/>
        <w:spacing w:before="80" w:after="80" w:line="240" w:lineRule="auto"/>
        <w:jc w:val="center"/>
      </w:pPr>
      <w:r>
        <w:rPr>
          <w:rFonts w:ascii="DejaVu Serif" w:hAnsi="DejaVu Serif" w:eastAsia="DejaVu Serif"/>
          <w:b/>
          <w:i w:val="0"/>
          <w:color w:val="2B176E"/>
          <w:sz w:val="25"/>
        </w:rPr>
        <w:t>λ ∈ Λ ≃ ℝ/2πℤ,    φ ∈ Φ = [-π/2,π/2],    ψ ∈ Ψ = E_I(V) ⊆ ℝ</w:t>
      </w:r>
    </w:p>
    <w:p>
      <w:pPr>
        <w:keepNext w:val="0"/>
        <w:spacing w:before="80" w:after="80" w:line="240" w:lineRule="auto"/>
        <w:jc w:val="center"/>
      </w:pPr>
      <w:r>
        <w:rPr>
          <w:rFonts w:ascii="DejaVu Serif" w:hAnsi="DejaVu Serif" w:eastAsia="DejaVu Serif"/>
          <w:b/>
          <w:i w:val="0"/>
          <w:color w:val="2B176E"/>
          <w:sz w:val="25"/>
        </w:rPr>
        <w:t>𝓧 = Λ × Φ × Ψ</w:t>
      </w:r>
    </w:p>
    <w:p>
      <w:pPr>
        <w:keepNext w:val="0"/>
        <w:spacing w:before="80" w:after="80" w:line="240" w:lineRule="auto"/>
        <w:jc w:val="center"/>
      </w:pPr>
      <w:r>
        <w:rPr>
          <w:rFonts w:ascii="DejaVu Serif" w:hAnsi="DejaVu Serif" w:eastAsia="DejaVu Serif"/>
          <w:b/>
          <w:i w:val="0"/>
          <w:color w:val="2B176E"/>
          <w:sz w:val="25"/>
        </w:rPr>
        <w:t>𝓡 = 𝓧 × 𝓧</w:t>
      </w:r>
    </w:p>
    <w:p>
      <w:pPr>
        <w:keepNext w:val="0"/>
        <w:spacing w:before="80" w:after="80" w:line="240" w:lineRule="auto"/>
        <w:jc w:val="center"/>
      </w:pPr>
      <w:r>
        <w:rPr>
          <w:rFonts w:ascii="DejaVu Serif" w:hAnsi="DejaVu Serif" w:eastAsia="DejaVu Serif"/>
          <w:b/>
          <w:i w:val="0"/>
          <w:color w:val="2B176E"/>
          <w:sz w:val="25"/>
        </w:rPr>
        <w:t>W : 𝓧 × 𝓧 → ℝ≥0</w:t>
      </w:r>
    </w:p>
    <w:p>
      <w:pPr>
        <w:keepNext w:val="0"/>
        <w:spacing w:before="80" w:after="80" w:line="240" w:lineRule="auto"/>
        <w:jc w:val="center"/>
      </w:pPr>
      <w:r>
        <w:rPr>
          <w:rFonts w:ascii="DejaVu Serif" w:hAnsi="DejaVu Serif" w:eastAsia="DejaVu Serif"/>
          <w:b/>
          <w:i w:val="0"/>
          <w:color w:val="2B176E"/>
          <w:sz w:val="25"/>
        </w:rPr>
        <w:t>W(P,P)=0,    P≠Q ⇒ W(P,Q)&gt;0,    W(P,Q)=W(Q,P)</w:t>
      </w:r>
    </w:p>
    <w:p>
      <w:pPr>
        <w:keepNext w:val="0"/>
        <w:spacing w:before="0" w:after="120" w:line="281" w:lineRule="auto"/>
      </w:pPr>
      <w:r>
        <w:rPr>
          <w:rFonts w:ascii="Liberation Sans" w:hAnsi="Liberation Sans" w:eastAsia="Liberation Sans"/>
          <w:b w:val="0"/>
          <w:i w:val="0"/>
          <w:color w:val="0F172A"/>
          <w:sz w:val="21"/>
        </w:rPr>
        <w:t>Aucune inégalité triangulaire n’est exigée à ce stade. Aucune interpolation n’est imposée. Aucune métrique euclidienne n’est présupposée. Les anciennes géométries servent à construire les coordonnées ; elles ne sont pas directement additionnées dans la nouvelle.</w:t>
      </w:r>
    </w:p>
    <w:p>
      <w:pPr>
        <w:pStyle w:val="Heading2"/>
        <w:keepNext/>
        <w:spacing w:before="100" w:after="80" w:line="252" w:lineRule="auto"/>
      </w:pPr>
      <w:r>
        <w:rPr>
          <w:rFonts w:ascii="Liberation Sans" w:hAnsi="Liberation Sans" w:eastAsia="Liberation Sans"/>
          <w:b/>
          <w:i w:val="0"/>
          <w:color w:val="5232DB"/>
          <w:sz w:val="26"/>
        </w:rPr>
        <w:t>10.1. Forme générale actuellement admissible pour W</w:t>
      </w:r>
    </w:p>
    <w:p>
      <w:pPr>
        <w:keepNext w:val="0"/>
        <w:spacing w:before="0" w:after="120" w:line="281" w:lineRule="auto"/>
      </w:pPr>
      <w:r>
        <w:rPr>
          <w:rFonts w:ascii="Liberation Sans" w:hAnsi="Liberation Sans" w:eastAsia="Liberation Sans"/>
          <w:b w:val="0"/>
          <w:i w:val="0"/>
          <w:color w:val="0F172A"/>
          <w:sz w:val="21"/>
        </w:rPr>
        <w:t>L’invariance vis-à-vis du choix de l’origine longitudinale permet de réduire la dépendance absolue en λ. Sans imposer d’homogénéité sur φ et ψ, la recherche de W peut partir de :</w:t>
      </w:r>
    </w:p>
    <w:p>
      <w:pPr>
        <w:keepNext w:val="0"/>
        <w:spacing w:before="80" w:after="80" w:line="240" w:lineRule="auto"/>
        <w:jc w:val="center"/>
      </w:pPr>
      <w:r>
        <w:rPr>
          <w:rFonts w:ascii="DejaVu Serif" w:hAnsi="DejaVu Serif" w:eastAsia="DejaVu Serif"/>
          <w:b/>
          <w:i w:val="0"/>
          <w:color w:val="2B176E"/>
          <w:sz w:val="25"/>
        </w:rPr>
        <w:t>W(P,Q) = F([λ(Q)-λ(P)], φ(P), φ(Q), ψ(P), ψ(Q))</w:t>
      </w:r>
    </w:p>
    <w:p>
      <w:pPr>
        <w:keepNext w:val="0"/>
        <w:spacing w:before="0" w:after="120" w:line="281" w:lineRule="auto"/>
      </w:pPr>
      <w:r>
        <w:rPr>
          <w:rFonts w:ascii="Liberation Sans" w:hAnsi="Liberation Sans" w:eastAsia="Liberation Sans"/>
          <w:b w:val="0"/>
          <w:i w:val="0"/>
          <w:color w:val="0F172A"/>
          <w:sz w:val="21"/>
        </w:rPr>
        <w:t>La symétrie de W imposera ensuite une relation correspondante entre les arguments échangés. Cette équation n’est pas une solution : elle est le domaine propre de la prochaine recherche.</w:t>
      </w:r>
    </w:p>
    <w:p>
      <w:pPr>
        <w:pStyle w:val="Heading1"/>
        <w:keepNext/>
        <w:spacing w:before="160" w:after="80" w:line="252" w:lineRule="auto"/>
      </w:pPr>
      <w:r>
        <w:rPr>
          <w:rFonts w:ascii="Liberation Sans" w:hAnsi="Liberation Sans" w:eastAsia="Liberation Sans"/>
          <w:b/>
          <w:i w:val="0"/>
          <w:color w:val="2B176E"/>
          <w:sz w:val="34"/>
        </w:rPr>
        <w:t>11. Point de reprise : ce qui reste à découvrir</w:t>
      </w:r>
    </w:p>
    <w:p>
      <w:pPr>
        <w:keepNext w:val="0"/>
        <w:spacing w:before="0" w:after="120" w:line="281" w:lineRule="auto"/>
      </w:pPr>
      <w:r>
        <w:rPr>
          <w:rFonts w:ascii="Liberation Sans" w:hAnsi="Liberation Sans" w:eastAsia="Liberation Sans"/>
          <w:b w:val="0"/>
          <w:i w:val="0"/>
          <w:color w:val="0F172A"/>
          <w:sz w:val="21"/>
        </w:rPr>
        <w:t>Les préparatifs sont clôturés. La prochaine phase ne doit plus revenir sur les anciennes notations ou sur une combinaison de distances héritées. Elle doit chercher la forme du poids élémentaire W directement à partir des trois coordonnées et des axiomes retenus.</w:t>
      </w:r>
    </w:p>
    <w:p>
      <w:pPr>
        <w:pStyle w:val="ListBullet"/>
        <w:keepNext w:val="0"/>
        <w:spacing w:before="0" w:after="60" w:line="269" w:lineRule="auto"/>
      </w:pPr>
      <w:r>
        <w:rPr>
          <w:rFonts w:ascii="Liberation Sans" w:hAnsi="Liberation Sans" w:eastAsia="Liberation Sans"/>
          <w:b w:val="0"/>
          <w:i w:val="0"/>
          <w:color w:val="0F172A"/>
          <w:sz w:val="20"/>
        </w:rPr>
        <w:t>Déterminer quelles dépendances à φ(P), φ(Q), ψ(P) et ψ(Q) sont réellement nécessaires.</w:t>
      </w:r>
    </w:p>
    <w:p>
      <w:pPr>
        <w:pStyle w:val="ListBullet"/>
        <w:keepNext w:val="0"/>
        <w:spacing w:before="0" w:after="60" w:line="269" w:lineRule="auto"/>
      </w:pPr>
      <w:r>
        <w:rPr>
          <w:rFonts w:ascii="Liberation Sans" w:hAnsi="Liberation Sans" w:eastAsia="Liberation Sans"/>
          <w:b w:val="0"/>
          <w:i w:val="0"/>
          <w:color w:val="0F172A"/>
          <w:sz w:val="20"/>
        </w:rPr>
        <w:t>Tester les symétries supplémentaires éventuelles sans les postuler gratuitement.</w:t>
      </w:r>
    </w:p>
    <w:p>
      <w:pPr>
        <w:pStyle w:val="ListBullet"/>
        <w:keepNext w:val="0"/>
        <w:spacing w:before="0" w:after="60" w:line="269" w:lineRule="auto"/>
      </w:pPr>
      <w:r>
        <w:rPr>
          <w:rFonts w:ascii="Liberation Sans" w:hAnsi="Liberation Sans" w:eastAsia="Liberation Sans"/>
          <w:b w:val="0"/>
          <w:i w:val="0"/>
          <w:color w:val="0F172A"/>
          <w:sz w:val="20"/>
        </w:rPr>
        <w:t>Construire des familles candidates de W satisfaisant identité, positivité et symétrie.</w:t>
      </w:r>
    </w:p>
    <w:p>
      <w:pPr>
        <w:pStyle w:val="ListBullet"/>
        <w:keepNext w:val="0"/>
        <w:spacing w:before="0" w:after="60" w:line="269" w:lineRule="auto"/>
      </w:pPr>
      <w:r>
        <w:rPr>
          <w:rFonts w:ascii="Liberation Sans" w:hAnsi="Liberation Sans" w:eastAsia="Liberation Sans"/>
          <w:b w:val="0"/>
          <w:i w:val="0"/>
          <w:color w:val="0F172A"/>
          <w:sz w:val="20"/>
        </w:rPr>
        <w:t>Comparer ces familles sur des positions réelles et des coordonnées logiques réellement encodées.</w:t>
      </w:r>
    </w:p>
    <w:p>
      <w:pPr>
        <w:pStyle w:val="ListBullet"/>
        <w:keepNext w:val="0"/>
        <w:spacing w:before="0" w:after="60" w:line="269" w:lineRule="auto"/>
      </w:pPr>
      <w:r>
        <w:rPr>
          <w:rFonts w:ascii="Liberation Sans" w:hAnsi="Liberation Sans" w:eastAsia="Liberation Sans"/>
          <w:b w:val="0"/>
          <w:i w:val="0"/>
          <w:color w:val="0F172A"/>
          <w:sz w:val="20"/>
        </w:rPr>
        <w:t>Seulement ensuite tester une longueur de trajectoire fondée sur les poids des sauts.</w:t>
      </w:r>
    </w:p>
    <w:p>
      <w:pPr>
        <w:pStyle w:val="ListBullet"/>
        <w:keepNext w:val="0"/>
        <w:spacing w:before="0" w:after="60" w:line="269" w:lineRule="auto"/>
      </w:pPr>
      <w:r>
        <w:rPr>
          <w:rFonts w:ascii="Liberation Sans" w:hAnsi="Liberation Sans" w:eastAsia="Liberation Sans"/>
          <w:b w:val="0"/>
          <w:i w:val="0"/>
          <w:color w:val="0F172A"/>
          <w:sz w:val="20"/>
        </w:rPr>
        <w:t>La notion de distance sera étudiée en dernier, si elle est utile et si elle émerge naturellement.</w:t>
      </w:r>
    </w:p>
    <w:tbl>
      <w:tblPr>
        <w:tblW w:type="auto" w:w="0"/>
        <w:jc w:val="center"/>
        <w:tblLayout w:type="autofit"/>
        <w:tblLook w:firstColumn="1" w:firstRow="1" w:lastColumn="0" w:lastRow="0" w:noHBand="0" w:noVBand="1" w:val="04A0"/>
      </w:tblPr>
      <w:tblGrid>
        <w:gridCol w:w="9994"/>
      </w:tblGrid>
      <w:tr>
        <w:tc>
          <w:tcPr>
            <w:tcW w:type="dxa" w:w="9994"/>
            <w:shd w:fill="FFF1F2"/>
            <w:tcMar>
              <w:top w:w="150" w:type="dxa"/>
              <w:start w:w="190" w:type="dxa"/>
              <w:bottom w:w="150" w:type="dxa"/>
              <w:end w:w="190" w:type="dxa"/>
            </w:tcMar>
          </w:tcPr>
          <w:p>
            <w:pPr>
              <w:keepNext w:val="0"/>
              <w:spacing w:before="0" w:after="40" w:line="252" w:lineRule="auto"/>
            </w:pPr>
            <w:r>
              <w:rPr>
                <w:rFonts w:ascii="Liberation Sans" w:hAnsi="Liberation Sans" w:eastAsia="Liberation Sans"/>
                <w:b/>
                <w:i w:val="0"/>
                <w:color w:val="BE123C"/>
                <w:sz w:val="21"/>
              </w:rPr>
              <w:t>Règle de non-régression</w:t>
            </w:r>
          </w:p>
          <w:p>
            <w:pPr>
              <w:keepNext w:val="0"/>
              <w:spacing w:before="0" w:after="0" w:line="271" w:lineRule="auto"/>
            </w:pPr>
            <w:r>
              <w:rPr>
                <w:rFonts w:ascii="Liberation Sans" w:hAnsi="Liberation Sans" w:eastAsia="Liberation Sans"/>
                <w:b w:val="0"/>
                <w:i w:val="0"/>
                <w:color w:val="0F172A"/>
                <w:sz w:val="20"/>
              </w:rPr>
              <w:t>Ne plus réintroduire g, i, d_G, d_L, une norme euclidienne 3D, une interpolation continue ou un parcours du graphe logique comme hypothèses implicites de la géométrie commune.</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75569"/>
        <w:sz w:val="16"/>
      </w:rPr>
      <w:t>Univers Makolo  •  Préparation mathématique de la géométrie commune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Liberation Sans" w:hAnsi="Liberation San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2B176E"/>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5232DB"/>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FF70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