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nivers-makolo"/>
    <w:p>
      <w:pPr>
        <w:pStyle w:val="Title"/>
        <w:keepNext/>
        <w:jc w:val="center"/>
      </w:pPr>
      <w:r>
        <w:rPr>
          <w:rFonts w:ascii="Aptos Display" w:hAnsi="Aptos Display" w:eastAsia="Aptos Display"/>
          <w:b/>
          <w:color w:val="2B176E"/>
          <w:sz w:val="54"/>
        </w:rPr>
        <w:t xml:space="preserve">UNIVERS MAKOLO</w:t>
      </w:r>
    </w:p>
    <w:bookmarkStart w:id="20" w:name="X2fda14e286bc7e5d44aeee96cd7f1022d5100b1"/>
    <w:p>
      <w:pPr>
        <w:pStyle w:val="Heading2"/>
        <w:keepNext/>
        <w:spacing w:after="280"/>
        <w:jc w:val="center"/>
      </w:pPr>
      <w:r>
        <w:rPr>
          <w:rFonts w:ascii="Aptos Display" w:hAnsi="Aptos Display" w:eastAsia="Aptos Display"/>
          <w:b/>
          <w:color w:val="5232DB"/>
          <w:sz w:val="30"/>
        </w:rPr>
        <w:t xml:space="preserve">Théorie physico-géométrique consolidée de représentation et de dynamique</w:t>
      </w:r>
    </w:p>
    <w:p>
      <w:pPr>
        <w:pStyle w:val="FirstParagraph"/>
        <w:keepNext/>
        <w:jc w:val="center"/>
      </w:pPr>
      <w:r>
        <w:rPr>
          <w:rFonts w:ascii="Aptos" w:hAnsi="Aptos" w:eastAsia="Aptos"/>
          <w:b w:val="0"/>
          <w:bCs/>
          <w:i/>
          <w:color w:val="475569"/>
          <w:sz w:val="19"/>
        </w:rPr>
        <w:t xml:space="preserve">Version proposée pour consolidation canonique — 14 septembre 2026</w:t>
      </w:r>
      <w:r>
        <w:rPr>
          <w:rFonts w:ascii="Aptos" w:hAnsi="Aptos" w:eastAsia="Aptos"/>
          <w:b w:val="0"/>
          <w:i/>
          <w:color w:val="475569"/>
          <w:sz w:val="19"/>
        </w:rPr>
        <w:br/>
      </w:r>
      <w:r>
        <w:rPr>
          <w:rFonts w:ascii="Aptos" w:hAnsi="Aptos" w:eastAsia="Aptos"/>
          <w:b w:val="0"/>
          <w:bCs/>
          <w:i/>
          <w:color w:val="475569"/>
          <w:sz w:val="19"/>
        </w:rPr>
        <w:t xml:space="preserve">Statut du document : synthèse scientifique structurée pour validation</w:t>
      </w:r>
    </w:p>
    <w:bookmarkEnd w:id="20"/>
    <w:bookmarkEnd w:id="21"/>
    <w:bookmarkStart w:id="22" w:name="résumé"/>
    <w:p>
      <w:pPr>
        <w:pStyle w:val="Heading1"/>
        <w:pageBreakBefore/>
      </w:pPr>
      <w:r>
        <w:t xml:space="preserve">Résumé</w:t>
      </w:r>
    </w:p>
    <w:p>
      <w:pPr>
        <w:pStyle w:val="FirstParagraph"/>
      </w:pPr>
      <w:r>
        <w:t xml:space="preserve">L’Univers Makolo est un</w:t>
      </w:r>
      <w:r>
        <w:t xml:space="preserve"> </w:t>
      </w:r>
      <w:r>
        <w:rPr>
          <w:b/>
          <w:bCs/>
        </w:rPr>
        <w:t xml:space="preserve">univers formel construit</w:t>
      </w:r>
      <w:r>
        <w:t xml:space="preserve">, distinct à la fois du point de vue métier et du système de stockage ou d’exécution informatique. Il possède ses propres objets, états, relations, coordonnées, structures géométriques et règles d’évolution. Les données extérieures peuvent servir à</w:t>
      </w:r>
      <w:r>
        <w:t xml:space="preserve"> </w:t>
      </w:r>
      <w:r>
        <w:rPr>
          <w:b/>
          <w:bCs/>
        </w:rPr>
        <w:t xml:space="preserve">projeter</w:t>
      </w:r>
      <w:r>
        <w:t xml:space="preserve"> </w:t>
      </w:r>
      <w:r>
        <w:t xml:space="preserve">des faits vers cet univers, mais, une fois cette projection effectuée, la structure interne de l’Univers Makolo ne dépend plus de la sémantique métier ni de la représentation technique de la source.</w:t>
      </w:r>
    </w:p>
    <w:p>
      <w:pPr>
        <w:pStyle w:val="BodyText"/>
      </w:pPr>
      <w:r>
        <w:t xml:space="preserve">La présente théorie fixe cette séparation et clarifie un point méthodologique central : la géométrie interne de Makolo n’a pas à être « découverte » comme si elle était une propriété cachée de la Terre ou des URI. Elle peut être</w:t>
      </w:r>
      <w:r>
        <w:t xml:space="preserve"> </w:t>
      </w:r>
      <w:r>
        <w:rPr>
          <w:b/>
          <w:bCs/>
        </w:rPr>
        <w:t xml:space="preserve">posée constitutivement</w:t>
      </w:r>
      <w:r>
        <w:t xml:space="preserve"> </w:t>
      </w:r>
      <w:r>
        <w:t xml:space="preserve">comme une structure mathématique de l’univers construit. En revanche, les applications de cette géométrie, les projections qui alimentent ses coordonnées et les futures lois dynamiques doivent rester cohérentes, stables, falsifiables et explicitement limitées à leurs hypothèses.</w:t>
      </w:r>
    </w:p>
    <w:p>
      <w:pPr>
        <w:pStyle w:val="BodyText"/>
      </w:pPr>
      <w:r>
        <w:t xml:space="preserve">Le secteur complet des PointsMakolo est ainsi organisé autour de deux coordonnées internes,</w:t>
      </w:r>
    </w:p>
    <w:p>
      <w:pPr>
        <w:pStyle w:val="BodyText"/>
      </w:pPr>
      <m:oMathPara>
        <m:oMathParaPr>
          <m:jc m:val="center"/>
        </m:oMathParaPr>
        <m:oMath>
          <m:r>
            <m:t>p</m:t>
          </m:r>
          <m:r>
            <m:rPr>
              <m:sty m:val="p"/>
            </m:rPr>
            <m:t>=</m:t>
          </m:r>
          <m:d>
            <m:dPr>
              <m:begChr m:val="("/>
              <m:endChr m:val=")"/>
              <m:sepChr m:val=""/>
              <m:grow/>
            </m:dPr>
            <m:e>
              <m:r>
                <m:t>g</m:t>
              </m:r>
              <m:r>
                <m:rPr>
                  <m:sty m:val="p"/>
                </m:rPr>
                <m:t>,</m:t>
              </m:r>
              <m:r>
                <m:t>i</m:t>
              </m:r>
            </m:e>
          </m:d>
          <m:r>
            <m:rPr>
              <m:sty m:val="p"/>
            </m:rPr>
            <m:t>,</m:t>
          </m:r>
        </m:oMath>
      </m:oMathPara>
    </w:p>
    <w:p>
      <w:pPr>
        <w:pStyle w:val="FirstParagraph"/>
      </w:pPr>
      <w:r>
        <w:t xml:space="preserve">où</w:t>
      </w:r>
      <w:r>
        <w:t xml:space="preserve"> </w:t>
      </w:r>
      <m:oMath>
        <m:r>
          <m:t>g</m:t>
        </m:r>
      </m:oMath>
      <w:r>
        <w:t xml:space="preserve"> </w:t>
      </w:r>
      <w:r>
        <w:t xml:space="preserve">est une coordonnée géographique Makolo et</w:t>
      </w:r>
      <w:r>
        <w:t xml:space="preserve"> </w:t>
      </w:r>
      <m:oMath>
        <m:r>
          <m:t>i</m:t>
        </m:r>
      </m:oMath>
      <w:r>
        <w:t xml:space="preserve"> </w:t>
      </w:r>
      <w:r>
        <w:t xml:space="preserve">une coordonnée logique Makolo. Ces coordonnées ne sont ni des kilomètres, ni des nombres d’actions, ni des difficultés, ni des valeurs humaines. Elles sont des coordonnées internes du modèle.</w:t>
      </w:r>
    </w:p>
    <w:p>
      <w:pPr>
        <w:pStyle w:val="BodyText"/>
      </w:pPr>
      <w:r>
        <w:t xml:space="preserve">La structure géométrique retenue pour le secteur complet est le</w:t>
      </w:r>
      <w:r>
        <w:t xml:space="preserve"> </w:t>
      </w:r>
      <w:r>
        <w:rPr>
          <w:b/>
          <w:bCs/>
        </w:rPr>
        <w:t xml:space="preserve">plan affine euclidien réel de dimension deux</w:t>
      </w:r>
      <w:r>
        <w:t xml:space="preserve">, muni du produit scalaire standard. Les conséquences classiques — vecteurs de déplacement, norme, distance euclidienne, orthogonalité, translations, rotations et théorème de Pythagore — sont donc des résultats mathématiques de cette structure. Elles ne prétendent pas reproduire la métrique terrestre ni une métrique sémantique des URI.</w:t>
      </w:r>
    </w:p>
    <w:p>
      <w:pPr>
        <w:pStyle w:val="BodyText"/>
      </w:pPr>
      <w:r>
        <w:t xml:space="preserve">La théorie distingue également les loci complets des loci partiels, la position de l’état interne, l’ontologie de la dynamique, les relations, les systèmes et la frontière endogène/exogène. La dynamique générale reste relationnelle : aucune loi universelle de type newtonien, lagrangien, hamiltonien ou quantique n’est actuellement imposée. Les théories scientifiques établies doivent être transposées</w:t>
      </w:r>
      <w:r>
        <w:t xml:space="preserve"> </w:t>
      </w:r>
      <w:r>
        <w:rPr>
          <w:b/>
          <w:bCs/>
        </w:rPr>
        <w:t xml:space="preserve">lorsque leurs hypothèses sont satisfaites</w:t>
      </w:r>
      <w:r>
        <w:t xml:space="preserve">, et non réinventées ni importées par simple analogie.</w:t>
      </w:r>
    </w:p>
    <w:bookmarkEnd w:id="22"/>
    <w:bookmarkStart w:id="28" w:name="nature-de-lunivers-makolo"/>
    <w:p>
      <w:pPr>
        <w:pStyle w:val="Heading1"/>
      </w:pPr>
      <w:r>
        <w:t xml:space="preserve">1. Nature de l’Univers Makolo</w:t>
      </w:r>
    </w:p>
    <w:bookmarkStart w:id="23" w:name="trois-niveaux-strictement-distincts"/>
    <w:p>
      <w:pPr>
        <w:pStyle w:val="Heading2"/>
      </w:pPr>
      <w:r>
        <w:t xml:space="preserve">1.1. Trois niveaux strictement distincts</w:t>
      </w:r>
    </w:p>
    <w:p>
      <w:pPr>
        <w:pStyle w:val="FirstParagraph"/>
        <w:keepNext/>
      </w:pPr>
      <w:r>
        <w:t xml:space="preserve">La théorie impose la séparation :</w:t>
      </w:r>
    </w:p>
    <w:p>
      <w:pPr>
        <w:pStyle w:val="BodyText"/>
      </w:pPr>
      <m:oMathPara>
        <m:oMathParaPr>
          <m:jc m:val="center"/>
        </m:oMathParaPr>
        <m:oMath>
          <m:borderBox>
            <m:e>
              <m:r>
                <m:rPr>
                  <m:nor/>
                  <m:sty m:val="p"/>
                </m:rPr>
                <m:t>point de vue métier</m:t>
              </m:r>
              <m:r>
                <m:rPr>
                  <m:sty m:val="p"/>
                </m:rPr>
                <m:t>≠</m:t>
              </m:r>
              <m:r>
                <m:rPr>
                  <m:nor/>
                  <m:sty m:val="p"/>
                </m:rPr>
                <m:t>backend</m:t>
              </m:r>
              <m:r>
                <m:rPr>
                  <m:sty m:val="p"/>
                </m:rPr>
                <m:t>≠</m:t>
              </m:r>
              <m:r>
                <m:rPr>
                  <m:nor/>
                  <m:sty m:val="p"/>
                </m:rPr>
                <m:t>Univers Makolo</m:t>
              </m:r>
            </m:e>
          </m:borderBox>
        </m:oMath>
      </m:oMathPara>
    </w:p>
    <w:p>
      <w:pPr>
        <w:pStyle w:val="MakoloCallout"/>
      </w:pPr>
      <w:r>
        <w:rPr>
          <w:rFonts w:ascii="Aptos" w:hAnsi="Aptos" w:eastAsia="Aptos"/>
          <w:b/>
          <w:bCs/>
          <w:color w:val="5232DB"/>
          <w:sz w:val="19"/>
        </w:rPr>
        <w:t xml:space="preserve">RETENU</w:t>
      </w:r>
      <w:r>
        <w:rPr>
          <w:rFonts w:ascii="Aptos" w:hAnsi="Aptos" w:eastAsia="Aptos"/>
          <w:b/>
          <w:color w:val="5232DB"/>
          <w:sz w:val="19"/>
        </w:rPr>
        <w:t xml:space="preserve">.</w:t>
      </w:r>
    </w:p>
    <w:p>
      <w:pPr>
        <w:pStyle w:val="BodyText"/>
      </w:pPr>
      <w:r>
        <w:t xml:space="preserve">Le</w:t>
      </w:r>
      <w:r>
        <w:t xml:space="preserve"> </w:t>
      </w:r>
      <w:r>
        <w:rPr>
          <w:b/>
          <w:bCs/>
        </w:rPr>
        <w:t xml:space="preserve">point de vue métier</w:t>
      </w:r>
      <w:r>
        <w:t xml:space="preserve"> </w:t>
      </w:r>
      <w:r>
        <w:t xml:space="preserve">décrit les objets et situations tels qu’ils sont compris dans l’activité humaine : une personne, un voyage, un concert, une occurrence, une adresse, un besoin ou une destination.</w:t>
      </w:r>
    </w:p>
    <w:p>
      <w:pPr>
        <w:pStyle w:val="BodyText"/>
      </w:pPr>
      <w:r>
        <w:t xml:space="preserve">Le</w:t>
      </w:r>
      <w:r>
        <w:t xml:space="preserve"> </w:t>
      </w:r>
      <w:r>
        <w:rPr>
          <w:b/>
          <w:bCs/>
        </w:rPr>
        <w:t xml:space="preserve">backend</w:t>
      </w:r>
      <w:r>
        <w:t xml:space="preserve"> </w:t>
      </w:r>
      <w:r>
        <w:t xml:space="preserve">décrit leur représentation informatique : modèles, tables, identifiants, relations techniques, clés, sérialisations, timestamps, formats de données et structures d’exécution.</w:t>
      </w:r>
    </w:p>
    <w:p>
      <w:pPr>
        <w:pStyle w:val="BodyText"/>
      </w:pPr>
      <w:r>
        <w:t xml:space="preserve">L’</w:t>
      </w:r>
      <w:r>
        <w:rPr>
          <w:b/>
          <w:bCs/>
        </w:rPr>
        <w:t xml:space="preserve">Univers Makolo</w:t>
      </w:r>
      <w:r>
        <w:t xml:space="preserve"> </w:t>
      </w:r>
      <w:r>
        <w:t xml:space="preserve">est une représentation formelle autonome. Il contient des CorpsMakolo, des états, des relations, des loci, des systèmes et des structures dynamiques. Ses coordonnées et ses opérations n’ont pas à reproduire directement le vocabulaire métier ni les structures du backend.</w:t>
      </w:r>
    </w:p>
    <w:p>
      <w:pPr>
        <w:pStyle w:val="BodyText"/>
        <w:keepNext/>
      </w:pPr>
      <w:r>
        <w:t xml:space="preserve">Cette séparation interdit notamment :</w:t>
      </w:r>
    </w:p>
    <w:p>
      <w:pPr>
        <w:pStyle w:val="BodyText"/>
      </w:pPr>
      <m:oMathPara>
        <m:oMathParaPr>
          <m:jc m:val="center"/>
        </m:oMathParaPr>
        <m:oMath>
          <m:borderBox>
            <m:e>
              <m:r>
                <m:rPr>
                  <m:nor/>
                  <m:sty m:val="p"/>
                </m:rPr>
                <m:t>structure de stockage</m:t>
              </m:r>
              <m:r>
                <m:rPr>
                  <m:sty m:val="p"/>
                </m:rPr>
                <m:t>⇒</m:t>
              </m:r>
              <m:r>
                <m:rPr>
                  <m:nor/>
                  <m:sty m:val="p"/>
                </m:rPr>
                <m:t>structure physique</m:t>
              </m:r>
            </m:e>
          </m:borderBox>
        </m:oMath>
      </m:oMathPara>
    </w:p>
    <w:p>
      <w:pPr>
        <w:pStyle w:val="FirstParagraph"/>
        <w:keepNext/>
      </w:pPr>
      <w:r>
        <w:t xml:space="preserve">et :</w:t>
      </w:r>
    </w:p>
    <w:p>
      <w:pPr>
        <w:pStyle w:val="BodyText"/>
      </w:pPr>
      <m:oMathPara>
        <m:oMathParaPr>
          <m:jc m:val="center"/>
        </m:oMathParaPr>
        <m:oMath>
          <m:borderBox>
            <m:e>
              <m:r>
                <m:rPr>
                  <m:nor/>
                  <m:sty m:val="p"/>
                </m:rPr>
                <m:t>sémantique métier</m:t>
              </m:r>
              <m:r>
                <m:rPr>
                  <m:sty m:val="p"/>
                </m:rPr>
                <m:t>⇒</m:t>
              </m:r>
              <m:r>
                <m:rPr>
                  <m:nor/>
                  <m:sty m:val="p"/>
                </m:rPr>
                <m:t>géométrie interne</m:t>
              </m:r>
            </m:e>
          </m:borderBox>
        </m:oMath>
      </m:oMathPara>
    </w:p>
    <w:p>
      <w:pPr>
        <w:pStyle w:val="FirstParagraph"/>
      </w:pPr>
      <w:r>
        <w:t xml:space="preserve">sans règle de projection explicite.</w:t>
      </w:r>
    </w:p>
    <w:bookmarkEnd w:id="23"/>
    <w:bookmarkStart w:id="27" w:name="univers-construit-et-statut-scientifique"/>
    <w:p>
      <w:pPr>
        <w:pStyle w:val="Heading2"/>
      </w:pPr>
      <w:r>
        <w:t xml:space="preserve">1.2. Univers construit et statut scientifique</w:t>
      </w:r>
    </w:p>
    <w:p>
      <w:pPr>
        <w:pStyle w:val="FirstParagraph"/>
      </w:pPr>
      <w:r>
        <w:t xml:space="preserve">L’Univers Makolo est un</w:t>
      </w:r>
      <w:r>
        <w:t xml:space="preserve"> </w:t>
      </w:r>
      <w:r>
        <w:rPr>
          <w:b/>
          <w:bCs/>
        </w:rPr>
        <w:t xml:space="preserve">modèle formel construit</w:t>
      </w:r>
      <w:r>
        <w:t xml:space="preserve">. Il n’est pas présenté comme une nouvelle théorie fondamentale de la Nature.</w:t>
      </w:r>
    </w:p>
    <w:p>
      <w:pPr>
        <w:pStyle w:val="BodyText"/>
        <w:keepNext/>
      </w:pPr>
      <w:r>
        <w:t xml:space="preserve">Cette distinction permet de séparer trois types d’énoncés :</w:t>
      </w:r>
    </w:p>
    <w:bookmarkStart w:id="24" w:name="a.-décisions-constitutives"/>
    <w:p>
      <w:pPr>
        <w:pStyle w:val="Heading3"/>
      </w:pPr>
      <w:r>
        <w:t xml:space="preserve">A. Décisions constitutives</w:t>
      </w:r>
    </w:p>
    <w:p>
      <w:pPr>
        <w:pStyle w:val="FirstParagraph"/>
      </w:pPr>
      <w:r>
        <w:t xml:space="preserve">Elles définissent la structure du modèle.</w:t>
      </w:r>
    </w:p>
    <w:p>
      <w:pPr>
        <w:pStyle w:val="BodyText"/>
        <w:keepNext/>
      </w:pPr>
      <w:r>
        <w:t xml:space="preserve">Exemples :</w:t>
      </w:r>
    </w:p>
    <w:p>
      <w:pPr>
        <w:pStyle w:val="Compact"/>
        <w:numPr>
          <w:ilvl w:val="0"/>
          <w:numId w:val="1001"/>
        </w:numPr>
      </w:pPr>
      <w:r>
        <w:t xml:space="preserve">la forme d’un PointMakolo ;</w:t>
      </w:r>
    </w:p>
    <w:p>
      <w:pPr>
        <w:pStyle w:val="Compact"/>
        <w:numPr>
          <w:ilvl w:val="0"/>
          <w:numId w:val="1001"/>
        </w:numPr>
      </w:pPr>
      <w:r>
        <w:t xml:space="preserve">le choix d’un espace affine réel ;</w:t>
      </w:r>
    </w:p>
    <w:p>
      <w:pPr>
        <w:pStyle w:val="Compact"/>
        <w:numPr>
          <w:ilvl w:val="0"/>
          <w:numId w:val="1001"/>
        </w:numPr>
      </w:pPr>
      <w:r>
        <w:t xml:space="preserve">le choix d’une métrique euclidienne interne ;</w:t>
      </w:r>
    </w:p>
    <w:p>
      <w:pPr>
        <w:pStyle w:val="Compact"/>
        <w:numPr>
          <w:ilvl w:val="0"/>
          <w:numId w:val="1001"/>
        </w:numPr>
      </w:pPr>
      <w:r>
        <w:t xml:space="preserve">la distinction entre une composante absente et la valeur zéro.</w:t>
      </w:r>
    </w:p>
    <w:p>
      <w:pPr>
        <w:pStyle w:val="FirstParagraph"/>
      </w:pPr>
      <w:r>
        <w:t xml:space="preserve">Une décision constitutive peut être</w:t>
      </w:r>
      <w:r>
        <w:t xml:space="preserve"> </w:t>
      </w:r>
      <w:r>
        <w:rPr>
          <w:b/>
          <w:bCs/>
        </w:rPr>
        <w:t xml:space="preserve">RETENU</w:t>
      </w:r>
      <w:r>
        <w:t xml:space="preserve"> </w:t>
      </w:r>
      <w:r>
        <w:t xml:space="preserve">par définition du modèle sans prétendre être une observation empirique sur le monde extérieur.</w:t>
      </w:r>
    </w:p>
    <w:bookmarkEnd w:id="24"/>
    <w:bookmarkStart w:id="25" w:name="b.-théorèmes-dérivés"/>
    <w:p>
      <w:pPr>
        <w:pStyle w:val="Heading3"/>
      </w:pPr>
      <w:r>
        <w:t xml:space="preserve">B. Théorèmes dérivés</w:t>
      </w:r>
    </w:p>
    <w:p>
      <w:pPr>
        <w:pStyle w:val="FirstParagraph"/>
      </w:pPr>
      <w:r>
        <w:t xml:space="preserve">Ils suivent mathématiquement des décisions constitutives.</w:t>
      </w:r>
    </w:p>
    <w:p>
      <w:pPr>
        <w:pStyle w:val="BodyText"/>
        <w:keepNext/>
      </w:pPr>
      <w:r>
        <w:t xml:space="preserve">Exemples :</w:t>
      </w:r>
    </w:p>
    <w:p>
      <w:pPr>
        <w:pStyle w:val="Compact"/>
        <w:numPr>
          <w:ilvl w:val="0"/>
          <w:numId w:val="1002"/>
        </w:numPr>
      </w:pPr>
      <w:r>
        <w:t xml:space="preserve">relation de Chasles ;</w:t>
      </w:r>
    </w:p>
    <w:p>
      <w:pPr>
        <w:pStyle w:val="Compact"/>
        <w:numPr>
          <w:ilvl w:val="0"/>
          <w:numId w:val="1002"/>
        </w:numPr>
      </w:pPr>
      <w:r>
        <w:t xml:space="preserve">théorème de Pythagore dans le secteur euclidien ;</w:t>
      </w:r>
    </w:p>
    <w:p>
      <w:pPr>
        <w:pStyle w:val="Compact"/>
        <w:numPr>
          <w:ilvl w:val="0"/>
          <w:numId w:val="1002"/>
        </w:numPr>
      </w:pPr>
      <w:r>
        <w:t xml:space="preserve">invariance de la norme sous les rotations orthogonales ;</w:t>
      </w:r>
    </w:p>
    <w:p>
      <w:pPr>
        <w:pStyle w:val="Compact"/>
        <w:numPr>
          <w:ilvl w:val="0"/>
          <w:numId w:val="1002"/>
        </w:numPr>
      </w:pPr>
      <w:r>
        <w:t xml:space="preserve">bornage d’une projection donnée ;</w:t>
      </w:r>
    </w:p>
    <w:p>
      <w:pPr>
        <w:pStyle w:val="Compact"/>
        <w:numPr>
          <w:ilvl w:val="0"/>
          <w:numId w:val="1002"/>
        </w:numPr>
      </w:pPr>
      <w:r>
        <w:t xml:space="preserve">injectivité d’un encodage sous des hypothèses précises.</w:t>
      </w:r>
    </w:p>
    <w:bookmarkEnd w:id="25"/>
    <w:bookmarkStart w:id="26" w:name="X5784ff8ad64129a6bd9dbe6a377ccafc967dbb5"/>
    <w:p>
      <w:pPr>
        <w:pStyle w:val="Heading3"/>
      </w:pPr>
      <w:r>
        <w:t xml:space="preserve">C. Hypothèses dynamiques ou de projection</w:t>
      </w:r>
    </w:p>
    <w:p>
      <w:pPr>
        <w:pStyle w:val="FirstParagraph"/>
      </w:pPr>
      <w:r>
        <w:t xml:space="preserve">Elles portent sur la manière dont des faits sources alimentent l’univers, ou sur la manière dont les états évoluent.</w:t>
      </w:r>
    </w:p>
    <w:p>
      <w:pPr>
        <w:pStyle w:val="BodyText"/>
      </w:pPr>
      <w:r>
        <w:t xml:space="preserve">Elles restent</w:t>
      </w:r>
      <w:r>
        <w:t xml:space="preserve"> </w:t>
      </w:r>
      <w:r>
        <w:rPr>
          <w:b/>
          <w:bCs/>
        </w:rPr>
        <w:t xml:space="preserve">CANDIDAT</w:t>
      </w:r>
      <w:r>
        <w:t xml:space="preserve"> </w:t>
      </w:r>
      <w:r>
        <w:t xml:space="preserve">ou</w:t>
      </w:r>
      <w:r>
        <w:t xml:space="preserve"> </w:t>
      </w:r>
      <w:r>
        <w:rPr>
          <w:b/>
          <w:bCs/>
        </w:rPr>
        <w:t xml:space="preserve">À DÉTERMINER</w:t>
      </w:r>
      <w:r>
        <w:t xml:space="preserve"> </w:t>
      </w:r>
      <w:r>
        <w:t xml:space="preserve">jusqu’à ce que leur domaine et leurs conséquences soient suffisamment établis.</w:t>
      </w:r>
    </w:p>
    <w:bookmarkEnd w:id="26"/>
    <w:bookmarkEnd w:id="27"/>
    <w:bookmarkEnd w:id="28"/>
    <w:bookmarkStart w:id="32" w:name="Xd81af7df9978b65791eb8ea6d5e03615d83f217"/>
    <w:p>
      <w:pPr>
        <w:pStyle w:val="Heading1"/>
      </w:pPr>
      <w:r>
        <w:t xml:space="preserve">2. Principe de projection et autonomie interne</w:t>
      </w:r>
    </w:p>
    <w:bookmarkStart w:id="29" w:name="projection-vers-lunivers"/>
    <w:p>
      <w:pPr>
        <w:pStyle w:val="Heading2"/>
      </w:pPr>
      <w:r>
        <w:t xml:space="preserve">2.1. Projection vers l’Univers</w:t>
      </w:r>
    </w:p>
    <w:p>
      <w:pPr>
        <w:pStyle w:val="FirstParagraph"/>
      </w:pPr>
      <w:r>
        <w:t xml:space="preserve">Soit</w:t>
      </w:r>
      <w:r>
        <w:t xml:space="preserve"> </w:t>
      </w:r>
      <m:oMath>
        <m:sSub>
          <m:e>
            <m:r>
              <m:t>S</m:t>
            </m:r>
          </m:e>
          <m:sub>
            <m:r>
              <m:t>G</m:t>
            </m:r>
          </m:sub>
        </m:sSub>
      </m:oMath>
      <w:r>
        <w:t xml:space="preserve"> </w:t>
      </w:r>
      <w:r>
        <w:t xml:space="preserve">un domaine de faits géographiques sources et</w:t>
      </w:r>
      <w:r>
        <w:t xml:space="preserve"> </w:t>
      </w:r>
      <m:oMath>
        <m:sSub>
          <m:e>
            <m:r>
              <m:t>S</m:t>
            </m:r>
          </m:e>
          <m:sub>
            <m:r>
              <m:t>I</m:t>
            </m:r>
          </m:sub>
        </m:sSub>
      </m:oMath>
      <w:r>
        <w:t xml:space="preserve"> </w:t>
      </w:r>
      <w:r>
        <w:t xml:space="preserve">un domaine de faits logiques sources.</w:t>
      </w:r>
    </w:p>
    <w:p>
      <w:pPr>
        <w:pStyle w:val="BodyText"/>
        <w:keepNext/>
      </w:pPr>
      <w:r>
        <w:t xml:space="preserve">On introduit deux applications de projection :</w:t>
      </w:r>
    </w:p>
    <w:p>
      <w:pPr>
        <w:pStyle w:val="BodyText"/>
      </w:pPr>
      <m:oMathPara>
        <m:oMathParaPr>
          <m:jc m:val="center"/>
        </m:oMathParaPr>
        <m:oMath>
          <m:sSub>
            <m:e>
              <m:r>
                <m:t>π</m:t>
              </m:r>
            </m:e>
            <m:sub>
              <m:r>
                <m:t>G</m:t>
              </m:r>
            </m:sub>
          </m:sSub>
          <m:r>
            <m:rPr>
              <m:sty m:val="p"/>
            </m:rPr>
            <m:t>:</m:t>
          </m:r>
          <m:sSub>
            <m:e>
              <m:r>
                <m:t>S</m:t>
              </m:r>
            </m:e>
            <m:sub>
              <m:r>
                <m:t>G</m:t>
              </m:r>
            </m:sub>
          </m:sSub>
          <m:r>
            <m:rPr>
              <m:sty m:val="p"/>
            </m:rPr>
            <m:t>→</m:t>
          </m:r>
          <m:r>
            <m:rPr>
              <m:sty m:val="p"/>
              <m:scr m:val="double-struck"/>
            </m:rPr>
            <m:t>R</m:t>
          </m:r>
          <m:r>
            <m:rPr>
              <m:sty m:val="p"/>
            </m:rPr>
            <m:t>,</m:t>
          </m:r>
        </m:oMath>
      </m:oMathPara>
    </w:p>
    <w:p>
      <w:pPr>
        <w:pStyle w:val="FirstParagraph"/>
      </w:pPr>
      <m:oMathPara>
        <m:oMathParaPr>
          <m:jc m:val="center"/>
        </m:oMathParaPr>
        <m:oMath>
          <m:sSub>
            <m:e>
              <m:r>
                <m:t>π</m:t>
              </m:r>
            </m:e>
            <m:sub>
              <m:r>
                <m:t>I</m:t>
              </m:r>
            </m:sub>
          </m:sSub>
          <m:r>
            <m:rPr>
              <m:sty m:val="p"/>
            </m:rPr>
            <m:t>:</m:t>
          </m:r>
          <m:sSub>
            <m:e>
              <m:r>
                <m:t>S</m:t>
              </m:r>
            </m:e>
            <m:sub>
              <m:r>
                <m:t>I</m:t>
              </m:r>
            </m:sub>
          </m:sSub>
          <m:r>
            <m:rPr>
              <m:sty m:val="p"/>
            </m:rPr>
            <m:t>→</m:t>
          </m:r>
          <m:r>
            <m:rPr>
              <m:sty m:val="p"/>
              <m:scr m:val="double-struck"/>
            </m:rPr>
            <m:t>R</m:t>
          </m:r>
          <m:r>
            <m:rPr>
              <m:sty m:val="p"/>
            </m:rPr>
            <m:t>.</m:t>
          </m:r>
        </m:oMath>
      </m:oMathPara>
    </w:p>
    <w:p>
      <w:pPr>
        <w:pStyle w:val="FirstParagraph"/>
        <w:keepNext/>
      </w:pPr>
      <w:r>
        <w:t xml:space="preserve">Elles produisent les coordonnées internes :</w:t>
      </w:r>
    </w:p>
    <w:p>
      <w:pPr>
        <w:pStyle w:val="BodyText"/>
      </w:pPr>
      <m:oMathPara>
        <m:oMathParaPr>
          <m:jc m:val="center"/>
        </m:oMathParaPr>
        <m:oMath>
          <m:r>
            <m:t>g</m:t>
          </m:r>
          <m:r>
            <m:rPr>
              <m:sty m:val="p"/>
            </m:rPr>
            <m:t>=</m:t>
          </m:r>
          <m:sSub>
            <m:e>
              <m:r>
                <m:t>π</m:t>
              </m:r>
            </m:e>
            <m:sub>
              <m:r>
                <m:t>G</m:t>
              </m:r>
            </m:sub>
          </m:sSub>
          <m:d>
            <m:dPr>
              <m:begChr m:val="("/>
              <m:endChr m:val=")"/>
              <m:sepChr m:val=""/>
              <m:grow/>
            </m:dPr>
            <m:e>
              <m:sSub>
                <m:e>
                  <m:r>
                    <m:t>s</m:t>
                  </m:r>
                </m:e>
                <m:sub>
                  <m:r>
                    <m:t>G</m:t>
                  </m:r>
                </m:sub>
              </m:sSub>
            </m:e>
          </m:d>
          <m:r>
            <m:rPr>
              <m:sty m:val="p"/>
            </m:rPr>
            <m:t>,</m:t>
          </m:r>
          <m:r>
            <m:t>  </m:t>
          </m:r>
          <m:r>
            <m:t>i</m:t>
          </m:r>
          <m:r>
            <m:rPr>
              <m:sty m:val="p"/>
            </m:rPr>
            <m:t>=</m:t>
          </m:r>
          <m:sSub>
            <m:e>
              <m:r>
                <m:t>π</m:t>
              </m:r>
            </m:e>
            <m:sub>
              <m:r>
                <m:t>I</m:t>
              </m:r>
            </m:sub>
          </m:sSub>
          <m:d>
            <m:dPr>
              <m:begChr m:val="("/>
              <m:endChr m:val=")"/>
              <m:sepChr m:val=""/>
              <m:grow/>
            </m:dPr>
            <m:e>
              <m:sSub>
                <m:e>
                  <m:r>
                    <m:t>s</m:t>
                  </m:r>
                </m:e>
                <m:sub>
                  <m:r>
                    <m:t>I</m:t>
                  </m:r>
                </m:sub>
              </m:sSub>
            </m:e>
          </m:d>
          <m:r>
            <m:rPr>
              <m:sty m:val="p"/>
            </m:rPr>
            <m:t>.</m:t>
          </m:r>
        </m:oMath>
      </m:oMathPara>
    </w:p>
    <w:p>
      <w:pPr>
        <w:pStyle w:val="FirstParagraph"/>
        <w:keepNext/>
      </w:pPr>
      <w:r>
        <w:t xml:space="preserve">Le PointMakolo complet est alors :</w:t>
      </w:r>
    </w:p>
    <w:p>
      <w:pPr>
        <w:pStyle w:val="BodyText"/>
      </w:pPr>
      <m:oMathPara>
        <m:oMathParaPr>
          <m:jc m:val="center"/>
        </m:oMathParaPr>
        <m:oMath>
          <m:borderBox>
            <m:e>
              <m:r>
                <m:t>p</m:t>
              </m:r>
              <m:r>
                <m:rPr>
                  <m:sty m:val="p"/>
                </m:rPr>
                <m:t>=</m:t>
              </m:r>
              <m:d>
                <m:dPr>
                  <m:begChr m:val="("/>
                  <m:endChr m:val=")"/>
                  <m:sepChr m:val=""/>
                  <m:grow/>
                </m:dPr>
                <m:e>
                  <m:r>
                    <m:t>g</m:t>
                  </m:r>
                  <m:r>
                    <m:rPr>
                      <m:sty m:val="p"/>
                    </m:rPr>
                    <m:t>,</m:t>
                  </m:r>
                  <m:r>
                    <m:t>i</m:t>
                  </m:r>
                </m:e>
              </m:d>
            </m:e>
          </m:borderBox>
          <m:r>
            <m:rPr>
              <m:sty m:val="p"/>
            </m:rPr>
            <m:t>.</m:t>
          </m:r>
        </m:oMath>
      </m:oMathPara>
    </w:p>
    <w:p>
      <w:pPr>
        <w:pStyle w:val="MakoloCallout"/>
      </w:pPr>
      <w:r>
        <w:rPr>
          <w:rFonts w:ascii="Aptos" w:hAnsi="Aptos" w:eastAsia="Aptos"/>
          <w:b/>
          <w:bCs/>
          <w:color w:val="5232DB"/>
          <w:sz w:val="19"/>
        </w:rPr>
        <w:t xml:space="preserve">RETENU</w:t>
      </w:r>
      <w:r>
        <w:rPr>
          <w:rFonts w:ascii="Aptos" w:hAnsi="Aptos" w:eastAsia="Aptos"/>
          <w:b/>
          <w:color w:val="5232DB"/>
          <w:sz w:val="19"/>
        </w:rPr>
        <w:t xml:space="preserve">.</w:t>
      </w:r>
    </w:p>
    <w:bookmarkEnd w:id="29"/>
    <w:bookmarkStart w:id="30" w:name="X329d5a9615f9db0f84c961e492183999ef119a3"/>
    <w:p>
      <w:pPr>
        <w:pStyle w:val="Heading2"/>
      </w:pPr>
      <w:r>
        <w:t xml:space="preserve">2.2. Principe d’effacement sémantique après projection</w:t>
      </w:r>
    </w:p>
    <w:p>
      <w:pPr>
        <w:pStyle w:val="FirstParagraph"/>
      </w:pPr>
      <w:r>
        <w:t xml:space="preserve">Une fois</w:t>
      </w:r>
      <w:r>
        <w:t xml:space="preserve"> </w:t>
      </w:r>
      <m:oMath>
        <m:r>
          <m:t>g</m:t>
        </m:r>
      </m:oMath>
      <w:r>
        <w:t xml:space="preserve"> </w:t>
      </w:r>
      <w:r>
        <w:t xml:space="preserve">ou</w:t>
      </w:r>
      <w:r>
        <w:t xml:space="preserve"> </w:t>
      </w:r>
      <m:oMath>
        <m:r>
          <m:t>i</m:t>
        </m:r>
      </m:oMath>
      <w:r>
        <w:t xml:space="preserve"> </w:t>
      </w:r>
      <w:r>
        <w:t xml:space="preserve">obtenus, les opérations géométriques de l’Univers Makolo portent sur les coordonnées internes et non sur la sémantique originale de leur source.</w:t>
      </w:r>
    </w:p>
    <w:p>
      <w:pPr>
        <w:pStyle w:val="BodyText"/>
      </w:pPr>
      <m:oMathPara>
        <m:oMathParaPr>
          <m:jc m:val="center"/>
        </m:oMathParaPr>
        <m:oMath>
          <m:borderBox>
            <m:e>
              <m:r>
                <m:rPr>
                  <m:nor/>
                  <m:sty m:val="p"/>
                </m:rPr>
                <m:t>source</m:t>
              </m:r>
              <m:limUpp>
                <m:e>
                  <m:r>
                    <m:rPr>
                      <m:sty m:val="p"/>
                    </m:rPr>
                    <m:t>→</m:t>
                  </m:r>
                </m:e>
                <m:lim>
                  <m:r>
                    <m:t>π</m:t>
                  </m:r>
                </m:lim>
              </m:limUpp>
              <m:r>
                <m:rPr>
                  <m:nor/>
                  <m:sty m:val="p"/>
                </m:rPr>
                <m:t>coordonnée Makolo</m:t>
              </m:r>
              <m:r>
                <m:t> </m:t>
              </m:r>
              <m:r>
                <m:rPr>
                  <m:sty m:val="p"/>
                </m:rPr>
                <m:t>⇒</m:t>
              </m:r>
              <m:r>
                <m:t> </m:t>
              </m:r>
              <m:r>
                <m:rPr>
                  <m:nor/>
                  <m:sty m:val="p"/>
                </m:rPr>
                <m:t>géométrie interne indépendante de la source</m:t>
              </m:r>
            </m:e>
          </m:borderBox>
        </m:oMath>
      </m:oMathPara>
    </w:p>
    <w:p>
      <w:pPr>
        <w:pStyle w:val="MakoloCallout"/>
      </w:pPr>
      <w:r>
        <w:rPr>
          <w:rFonts w:ascii="Aptos" w:hAnsi="Aptos" w:eastAsia="Aptos"/>
          <w:b/>
          <w:bCs/>
          <w:color w:val="5232DB"/>
          <w:sz w:val="19"/>
        </w:rPr>
        <w:t xml:space="preserve">RETENU</w:t>
      </w:r>
      <w:r>
        <w:rPr>
          <w:rFonts w:ascii="Aptos" w:hAnsi="Aptos" w:eastAsia="Aptos"/>
          <w:b/>
          <w:color w:val="5232DB"/>
          <w:sz w:val="19"/>
        </w:rPr>
        <w:t xml:space="preserve">.</w:t>
      </w:r>
    </w:p>
    <w:p>
      <w:pPr>
        <w:pStyle w:val="BodyText"/>
        <w:keepNext/>
      </w:pPr>
      <w:r>
        <w:t xml:space="preserve">Cela signifie notamment qu’après projection :</w:t>
      </w:r>
    </w:p>
    <w:p>
      <w:pPr>
        <w:pStyle w:val="Compact"/>
        <w:numPr>
          <w:ilvl w:val="0"/>
          <w:numId w:val="1003"/>
        </w:numPr>
      </w:pPr>
      <m:oMath>
        <m:r>
          <m:t>g</m:t>
        </m:r>
      </m:oMath>
      <w:r>
        <w:t xml:space="preserve"> </w:t>
      </w:r>
      <w:r>
        <w:t xml:space="preserve">n’est plus « une longitude » ;</w:t>
      </w:r>
    </w:p>
    <w:p>
      <w:pPr>
        <w:pStyle w:val="Compact"/>
        <w:numPr>
          <w:ilvl w:val="0"/>
          <w:numId w:val="1003"/>
        </w:numPr>
      </w:pPr>
      <m:oMath>
        <m:r>
          <m:t>i</m:t>
        </m:r>
      </m:oMath>
      <w:r>
        <w:t xml:space="preserve"> </w:t>
      </w:r>
      <w:r>
        <w:t xml:space="preserve">n’est plus « une URI » ;</w:t>
      </w:r>
    </w:p>
    <w:p>
      <w:pPr>
        <w:pStyle w:val="Compact"/>
        <w:numPr>
          <w:ilvl w:val="0"/>
          <w:numId w:val="1003"/>
        </w:numPr>
      </w:pPr>
      <w:r>
        <w:t xml:space="preserve">une différence</w:t>
      </w:r>
      <w:r>
        <w:t xml:space="preserve"> </w:t>
      </w:r>
      <m:oMath>
        <m:d>
          <m:dPr>
            <m:begChr m:val="|"/>
            <m:endChr m:val="|"/>
            <m:sepChr m:val=""/>
            <m:grow/>
          </m:dPr>
          <m:e>
            <m:sSub>
              <m:e>
                <m:r>
                  <m:t>g</m:t>
                </m:r>
              </m:e>
              <m:sub>
                <m:r>
                  <m:t>2</m:t>
                </m:r>
              </m:sub>
            </m:sSub>
            <m:r>
              <m:rPr>
                <m:sty m:val="p"/>
              </m:rPr>
              <m:t>−</m:t>
            </m:r>
            <m:sSub>
              <m:e>
                <m:r>
                  <m:t>g</m:t>
                </m:r>
              </m:e>
              <m:sub>
                <m:r>
                  <m:t>1</m:t>
                </m:r>
              </m:sub>
            </m:sSub>
          </m:e>
        </m:d>
      </m:oMath>
      <w:r>
        <w:t xml:space="preserve"> </w:t>
      </w:r>
      <w:r>
        <w:t xml:space="preserve">n’est pas une distance terrestre ;</w:t>
      </w:r>
    </w:p>
    <w:p>
      <w:pPr>
        <w:pStyle w:val="Compact"/>
        <w:numPr>
          <w:ilvl w:val="0"/>
          <w:numId w:val="1003"/>
        </w:numPr>
      </w:pPr>
      <w:r>
        <w:t xml:space="preserve">une différence</w:t>
      </w:r>
      <w:r>
        <w:t xml:space="preserve"> </w:t>
      </w:r>
      <m:oMath>
        <m:d>
          <m:dPr>
            <m:begChr m:val="|"/>
            <m:endChr m:val="|"/>
            <m:sepChr m:val=""/>
            <m:grow/>
          </m:dPr>
          <m:e>
            <m:sSub>
              <m:e>
                <m:r>
                  <m:t>i</m:t>
                </m:r>
              </m:e>
              <m:sub>
                <m:r>
                  <m:t>2</m:t>
                </m:r>
              </m:sub>
            </m:sSub>
            <m:r>
              <m:rPr>
                <m:sty m:val="p"/>
              </m:rPr>
              <m:t>−</m:t>
            </m:r>
            <m:sSub>
              <m:e>
                <m:r>
                  <m:t>i</m:t>
                </m:r>
              </m:e>
              <m:sub>
                <m:r>
                  <m:t>1</m:t>
                </m:r>
              </m:sub>
            </m:sSub>
          </m:e>
        </m:d>
      </m:oMath>
      <w:r>
        <w:t xml:space="preserve"> </w:t>
      </w:r>
      <w:r>
        <w:t xml:space="preserve">n’est pas une difficulté logique ;</w:t>
      </w:r>
    </w:p>
    <w:p>
      <w:pPr>
        <w:pStyle w:val="Compact"/>
        <w:numPr>
          <w:ilvl w:val="0"/>
          <w:numId w:val="1003"/>
        </w:numPr>
      </w:pPr>
      <w:r>
        <w:t xml:space="preserve">une norme dans Makolo n’est pas une utilité humaine.</w:t>
      </w:r>
    </w:p>
    <w:p>
      <w:pPr>
        <w:pStyle w:val="FirstParagraph"/>
      </w:pPr>
      <w:r>
        <w:t xml:space="preserve">La projection peut volontairement préserver certaines propriétés de la source, mais uniquement si ces propriétés sont inscrites dans son</w:t>
      </w:r>
      <w:r>
        <w:t xml:space="preserve"> </w:t>
      </w:r>
      <w:r>
        <w:rPr>
          <w:b/>
          <w:bCs/>
        </w:rPr>
        <w:t xml:space="preserve">contrat de représentation</w:t>
      </w:r>
      <w:r>
        <w:t xml:space="preserve">.</w:t>
      </w:r>
    </w:p>
    <w:bookmarkEnd w:id="30"/>
    <w:bookmarkStart w:id="31" w:name="contrat-de-représentation"/>
    <w:p>
      <w:pPr>
        <w:pStyle w:val="Heading2"/>
      </w:pPr>
      <w:r>
        <w:t xml:space="preserve">2.3. Contrat de représentation</w:t>
      </w:r>
    </w:p>
    <w:p>
      <w:pPr>
        <w:pStyle w:val="FirstParagraph"/>
      </w:pPr>
      <w:r>
        <w:t xml:space="preserve">Une projection scientifique doit préciser ce qu’elle cherche à préserver.</w:t>
      </w:r>
    </w:p>
    <w:p>
      <w:pPr>
        <w:pStyle w:val="BodyText"/>
        <w:keepNext/>
      </w:pPr>
      <w:r>
        <w:t xml:space="preserve">Le contrat peut contenir, selon le secteur :</w:t>
      </w:r>
    </w:p>
    <w:p>
      <w:pPr>
        <w:pStyle w:val="Compact"/>
        <w:numPr>
          <w:ilvl w:val="0"/>
          <w:numId w:val="1004"/>
        </w:numPr>
      </w:pPr>
      <w:r>
        <w:rPr>
          <w:b/>
          <w:bCs/>
        </w:rPr>
        <w:t xml:space="preserve">déterminisme</w:t>
      </w:r>
      <w:r>
        <w:t xml:space="preserve"> </w:t>
      </w:r>
      <w:r>
        <w:t xml:space="preserve">: une même source canonique donne toujours la même coordonnée ;</w:t>
      </w:r>
    </w:p>
    <w:p>
      <w:pPr>
        <w:pStyle w:val="Compact"/>
        <w:numPr>
          <w:ilvl w:val="0"/>
          <w:numId w:val="1004"/>
        </w:numPr>
      </w:pPr>
      <w:r>
        <w:rPr>
          <w:b/>
          <w:bCs/>
        </w:rPr>
        <w:t xml:space="preserve">stabilité</w:t>
      </w:r>
      <w:r>
        <w:t xml:space="preserve"> </w:t>
      </w:r>
      <w:r>
        <w:t xml:space="preserve">: la règle de projection ne dépend pas du contexte utilisateur ;</w:t>
      </w:r>
    </w:p>
    <w:p>
      <w:pPr>
        <w:pStyle w:val="Compact"/>
        <w:numPr>
          <w:ilvl w:val="0"/>
          <w:numId w:val="1004"/>
        </w:numPr>
      </w:pPr>
      <w:r>
        <w:rPr>
          <w:b/>
          <w:bCs/>
        </w:rPr>
        <w:t xml:space="preserve">typabilité</w:t>
      </w:r>
      <w:r>
        <w:t xml:space="preserve"> </w:t>
      </w:r>
      <w:r>
        <w:t xml:space="preserve">: une composante géographique et une composante logique ne sont pas confondues ;</w:t>
      </w:r>
    </w:p>
    <w:p>
      <w:pPr>
        <w:pStyle w:val="Compact"/>
        <w:numPr>
          <w:ilvl w:val="0"/>
          <w:numId w:val="1004"/>
        </w:numPr>
      </w:pPr>
      <w:r>
        <w:rPr>
          <w:b/>
          <w:bCs/>
        </w:rPr>
        <w:t xml:space="preserve">injectivité opérationnelle</w:t>
      </w:r>
      <w:r>
        <w:t xml:space="preserve"> </w:t>
      </w:r>
      <w:r>
        <w:t xml:space="preserve">: deux sources distinctes qui doivent rester distinguables ne sont pas confondues sur le domaine déclaré ;</w:t>
      </w:r>
    </w:p>
    <w:p>
      <w:pPr>
        <w:pStyle w:val="Compact"/>
        <w:numPr>
          <w:ilvl w:val="0"/>
          <w:numId w:val="1004"/>
        </w:numPr>
      </w:pPr>
      <w:r>
        <w:rPr>
          <w:b/>
          <w:bCs/>
        </w:rPr>
        <w:t xml:space="preserve">bornage</w:t>
      </w:r>
      <w:r>
        <w:t xml:space="preserve"> </w:t>
      </w:r>
      <w:r>
        <w:t xml:space="preserve">: lorsque souhaité, les coordonnées restent dans une plage contrôlée ;</w:t>
      </w:r>
    </w:p>
    <w:p>
      <w:pPr>
        <w:pStyle w:val="Compact"/>
        <w:numPr>
          <w:ilvl w:val="0"/>
          <w:numId w:val="1004"/>
        </w:numPr>
      </w:pPr>
      <w:r>
        <w:rPr>
          <w:b/>
          <w:bCs/>
        </w:rPr>
        <w:t xml:space="preserve">localité ou ordre</w:t>
      </w:r>
      <w:r>
        <w:t xml:space="preserve"> </w:t>
      </w:r>
      <w:r>
        <w:t xml:space="preserve">: seulement si l’on décide qu’une propriété de voisinage ou d’ordre doit survivre à la projection ;</w:t>
      </w:r>
    </w:p>
    <w:p>
      <w:pPr>
        <w:pStyle w:val="Compact"/>
        <w:numPr>
          <w:ilvl w:val="0"/>
          <w:numId w:val="1004"/>
        </w:numPr>
      </w:pPr>
      <w:r>
        <w:rPr>
          <w:b/>
          <w:bCs/>
        </w:rPr>
        <w:t xml:space="preserve">isométrie</w:t>
      </w:r>
      <w:r>
        <w:t xml:space="preserve"> </w:t>
      </w:r>
      <w:r>
        <w:t xml:space="preserve">: uniquement si une distance source doit réellement être préservée.</w:t>
      </w:r>
    </w:p>
    <w:p>
      <w:pPr>
        <w:pStyle w:val="FirstParagraph"/>
      </w:pPr>
      <w:r>
        <w:t xml:space="preserve">La théorie actuelle</w:t>
      </w:r>
      <w:r>
        <w:t xml:space="preserve"> </w:t>
      </w:r>
      <w:r>
        <w:rPr>
          <w:b/>
          <w:bCs/>
        </w:rPr>
        <w:t xml:space="preserve">n’exige pas</w:t>
      </w:r>
      <w:r>
        <w:t xml:space="preserve"> </w:t>
      </w:r>
      <w:r>
        <w:t xml:space="preserve">qu’une projection soit une isométrie du monde source.</w:t>
      </w:r>
    </w:p>
    <w:p>
      <w:pPr>
        <w:pStyle w:val="MakoloCallout"/>
      </w:pPr>
      <w:r>
        <w:rPr>
          <w:rFonts w:ascii="Aptos" w:hAnsi="Aptos" w:eastAsia="Aptos"/>
          <w:b/>
          <w:bCs/>
          <w:color w:val="5232DB"/>
          <w:sz w:val="19"/>
        </w:rPr>
        <w:t xml:space="preserve">RETENU</w:t>
      </w:r>
      <w:r>
        <w:rPr>
          <w:rFonts w:ascii="Aptos" w:hAnsi="Aptos" w:eastAsia="Aptos"/>
          <w:b/>
          <w:color w:val="5232DB"/>
          <w:sz w:val="19"/>
        </w:rPr>
        <w:t xml:space="preserve">.</w:t>
      </w:r>
    </w:p>
    <w:bookmarkEnd w:id="31"/>
    <w:bookmarkEnd w:id="32"/>
    <w:bookmarkStart w:id="36" w:name="espace-des-loci-makolo"/>
    <w:p>
      <w:pPr>
        <w:pStyle w:val="Heading1"/>
      </w:pPr>
      <w:r>
        <w:t xml:space="preserve">3. Espace des loci Makolo</w:t>
      </w:r>
    </w:p>
    <w:bookmarkStart w:id="33" w:name="coordonnées"/>
    <w:p>
      <w:pPr>
        <w:pStyle w:val="Heading2"/>
      </w:pPr>
      <w:r>
        <w:t xml:space="preserve">3.1. Coordonnées</w:t>
      </w:r>
    </w:p>
    <w:p>
      <w:pPr>
        <w:pStyle w:val="FirstParagraph"/>
        <w:keepNext/>
      </w:pPr>
      <w:r>
        <w:t xml:space="preserve">La composante géographique Makolo est notée :</w:t>
      </w:r>
    </w:p>
    <w:p>
      <w:pPr>
        <w:pStyle w:val="BodyText"/>
      </w:pPr>
      <m:oMathPara>
        <m:oMathParaPr>
          <m:jc m:val="center"/>
        </m:oMathParaPr>
        <m:oMath>
          <m:r>
            <m:t>g</m:t>
          </m:r>
          <m:r>
            <m:rPr>
              <m:sty m:val="p"/>
            </m:rPr>
            <m:t>∈</m:t>
          </m:r>
          <m:sSub>
            <m:e>
              <m:r>
                <m:rPr>
                  <m:sty m:val="p"/>
                  <m:scr m:val="double-struck"/>
                </m:rPr>
                <m:t>R</m:t>
              </m:r>
            </m:e>
            <m:sub>
              <m:r>
                <m:t>G</m:t>
              </m:r>
            </m:sub>
          </m:sSub>
          <m:r>
            <m:rPr>
              <m:sty m:val="p"/>
            </m:rPr>
            <m:t>,</m:t>
          </m:r>
        </m:oMath>
      </m:oMathPara>
    </w:p>
    <w:p>
      <w:pPr>
        <w:pStyle w:val="FirstParagraph"/>
        <w:keepNext/>
      </w:pPr>
      <w:r>
        <w:t xml:space="preserve">et la composante logique :</w:t>
      </w:r>
    </w:p>
    <w:p>
      <w:pPr>
        <w:pStyle w:val="BodyText"/>
      </w:pPr>
      <m:oMathPara>
        <m:oMathParaPr>
          <m:jc m:val="center"/>
        </m:oMathParaPr>
        <m:oMath>
          <m:r>
            <m:t>i</m:t>
          </m:r>
          <m:r>
            <m:rPr>
              <m:sty m:val="p"/>
            </m:rPr>
            <m:t>∈</m:t>
          </m:r>
          <m:sSub>
            <m:e>
              <m:r>
                <m:rPr>
                  <m:sty m:val="p"/>
                  <m:scr m:val="double-struck"/>
                </m:rPr>
                <m:t>R</m:t>
              </m:r>
            </m:e>
            <m:sub>
              <m:r>
                <m:t>I</m:t>
              </m:r>
            </m:sub>
          </m:sSub>
          <m:r>
            <m:rPr>
              <m:sty m:val="p"/>
            </m:rPr>
            <m:t>.</m:t>
          </m:r>
        </m:oMath>
      </m:oMathPara>
    </w:p>
    <w:p>
      <w:pPr>
        <w:pStyle w:val="FirstParagraph"/>
      </w:pPr>
      <w:r>
        <w:t xml:space="preserve">Dans la présente théorie,</w:t>
      </w:r>
      <w:r>
        <w:t xml:space="preserve"> </w:t>
      </w:r>
      <m:oMath>
        <m:sSub>
          <m:e>
            <m:r>
              <m:rPr>
                <m:sty m:val="p"/>
                <m:scr m:val="double-struck"/>
              </m:rPr>
              <m:t>R</m:t>
            </m:r>
          </m:e>
          <m:sub>
            <m:r>
              <m:t>G</m:t>
            </m:r>
          </m:sub>
        </m:sSub>
      </m:oMath>
      <w:r>
        <w:t xml:space="preserve"> </w:t>
      </w:r>
      <w:r>
        <w:t xml:space="preserve">et</w:t>
      </w:r>
      <w:r>
        <w:t xml:space="preserve"> </w:t>
      </w:r>
      <m:oMath>
        <m:sSub>
          <m:e>
            <m:r>
              <m:rPr>
                <m:sty m:val="p"/>
                <m:scr m:val="double-struck"/>
              </m:rPr>
              <m:t>R</m:t>
            </m:r>
          </m:e>
          <m:sub>
            <m:r>
              <m:t>I</m:t>
            </m:r>
          </m:sub>
        </m:sSub>
      </m:oMath>
      <w:r>
        <w:t xml:space="preserve"> </w:t>
      </w:r>
      <w:r>
        <w:t xml:space="preserve">sont deux copies typées du corps des réels.</w:t>
      </w:r>
    </w:p>
    <w:p>
      <w:pPr>
        <w:pStyle w:val="BodyText"/>
      </w:pPr>
      <m:oMathPara>
        <m:oMathParaPr>
          <m:jc m:val="center"/>
        </m:oMathParaPr>
        <m:oMath>
          <m:borderBox>
            <m:e>
              <m:r>
                <m:t>g</m:t>
              </m:r>
              <m:r>
                <m:rPr>
                  <m:sty m:val="p"/>
                </m:rPr>
                <m:t>,</m:t>
              </m:r>
              <m:r>
                <m:t>i</m:t>
              </m:r>
              <m:r>
                <m:rPr>
                  <m:sty m:val="p"/>
                </m:rPr>
                <m:t>∈</m:t>
              </m:r>
              <m:r>
                <m:rPr>
                  <m:sty m:val="p"/>
                  <m:scr m:val="double-struck"/>
                </m:rPr>
                <m:t>R</m:t>
              </m:r>
            </m:e>
          </m:borderBox>
        </m:oMath>
      </m:oMathPara>
    </w:p>
    <w:p>
      <w:pPr>
        <w:pStyle w:val="FirstParagraph"/>
      </w:pPr>
      <w:r>
        <w:t xml:space="preserve">est</w:t>
      </w:r>
      <w:r>
        <w:t xml:space="preserve"> </w:t>
      </w:r>
      <w:r>
        <w:rPr>
          <w:b/>
          <w:bCs/>
        </w:rPr>
        <w:t xml:space="preserve">RETENU comme décision constitutive de représentation</w:t>
      </w:r>
      <w:r>
        <w:t xml:space="preserve">.</w:t>
      </w:r>
    </w:p>
    <w:p>
      <w:pPr>
        <w:pStyle w:val="BodyText"/>
      </w:pPr>
      <w:r>
        <w:t xml:space="preserve">Le fait d’utiliser les réels ne signifie pas que les sources sont elles-mêmes continues. Cela définit seulement le codomaine interne des coordonnées.</w:t>
      </w:r>
    </w:p>
    <w:bookmarkEnd w:id="33"/>
    <w:bookmarkStart w:id="34" w:name="absence-dune-composante"/>
    <w:p>
      <w:pPr>
        <w:pStyle w:val="Heading2"/>
      </w:pPr>
      <w:r>
        <w:t xml:space="preserve">3.2. Absence d’une composante</w:t>
      </w:r>
    </w:p>
    <w:p>
      <w:pPr>
        <w:pStyle w:val="FirstParagraph"/>
        <w:keepNext/>
      </w:pPr>
      <w:r>
        <w:t xml:space="preserve">On conserve deux symboles typés :</w:t>
      </w:r>
    </w:p>
    <w:p>
      <w:pPr>
        <w:pStyle w:val="BodyText"/>
      </w:pPr>
      <m:oMathPara>
        <m:oMathParaPr>
          <m:jc m:val="center"/>
        </m:oMathParaPr>
        <m:oMath>
          <m:sSub>
            <m:e>
              <m:r>
                <m:rPr>
                  <m:sty m:val="p"/>
                </m:rPr>
                <m:t>⊥</m:t>
              </m:r>
            </m:e>
            <m:sub>
              <m:r>
                <m:t>G</m:t>
              </m:r>
            </m:sub>
          </m:sSub>
          <m:r>
            <m:rPr>
              <m:sty m:val="p"/>
            </m:rPr>
            <m:t>,</m:t>
          </m:r>
          <m:r>
            <m:t>  </m:t>
          </m:r>
          <m:sSub>
            <m:e>
              <m:r>
                <m:rPr>
                  <m:sty m:val="p"/>
                </m:rPr>
                <m:t>⊥</m:t>
              </m:r>
            </m:e>
            <m:sub>
              <m:r>
                <m:t>I</m:t>
              </m:r>
            </m:sub>
          </m:sSub>
          <m:r>
            <m:rPr>
              <m:sty m:val="p"/>
            </m:rPr>
            <m:t>,</m:t>
          </m:r>
        </m:oMath>
      </m:oMathPara>
    </w:p>
    <w:p>
      <w:pPr>
        <w:pStyle w:val="FirstParagraph"/>
        <w:keepNext/>
      </w:pPr>
      <w:r>
        <w:t xml:space="preserve">avec :</w:t>
      </w:r>
    </w:p>
    <w:p>
      <w:pPr>
        <w:pStyle w:val="BodyText"/>
      </w:pPr>
      <m:oMathPara>
        <m:oMathParaPr>
          <m:jc m:val="center"/>
        </m:oMathParaPr>
        <m:oMath>
          <m:borderBox>
            <m:e>
              <m:sSub>
                <m:e>
                  <m:r>
                    <m:rPr>
                      <m:sty m:val="p"/>
                    </m:rPr>
                    <m:t>⊥</m:t>
                  </m:r>
                </m:e>
                <m:sub>
                  <m:r>
                    <m:t>G</m:t>
                  </m:r>
                </m:sub>
              </m:sSub>
              <m:r>
                <m:rPr>
                  <m:sty m:val="p"/>
                </m:rPr>
                <m:t>≠</m:t>
              </m:r>
              <m:r>
                <m:t>0</m:t>
              </m:r>
              <m:r>
                <m:rPr>
                  <m:sty m:val="p"/>
                </m:rPr>
                <m:t>,</m:t>
              </m:r>
              <m:r>
                <m:t>  </m:t>
              </m:r>
              <m:sSub>
                <m:e>
                  <m:r>
                    <m:rPr>
                      <m:sty m:val="p"/>
                    </m:rPr>
                    <m:t>⊥</m:t>
                  </m:r>
                </m:e>
                <m:sub>
                  <m:r>
                    <m:t>I</m:t>
                  </m:r>
                </m:sub>
              </m:sSub>
              <m:r>
                <m:rPr>
                  <m:sty m:val="p"/>
                </m:rPr>
                <m:t>≠</m:t>
              </m:r>
              <m:r>
                <m:t>0</m:t>
              </m:r>
            </m:e>
          </m:borderBox>
          <m:r>
            <m:rPr>
              <m:sty m:val="p"/>
            </m:rPr>
            <m:t>.</m:t>
          </m:r>
        </m:oMath>
      </m:oMathPara>
    </w:p>
    <w:p>
      <w:pPr>
        <w:pStyle w:val="MakoloCallout"/>
      </w:pPr>
      <w:r>
        <w:rPr>
          <w:rFonts w:ascii="Aptos" w:hAnsi="Aptos" w:eastAsia="Aptos"/>
          <w:b/>
          <w:bCs/>
          <w:color w:val="5232DB"/>
          <w:sz w:val="19"/>
        </w:rPr>
        <w:t xml:space="preserve">RETENU</w:t>
      </w:r>
      <w:r>
        <w:rPr>
          <w:rFonts w:ascii="Aptos" w:hAnsi="Aptos" w:eastAsia="Aptos"/>
          <w:b/>
          <w:color w:val="5232DB"/>
          <w:sz w:val="19"/>
        </w:rPr>
        <w:t xml:space="preserve">.</w:t>
      </w:r>
    </w:p>
    <w:p>
      <w:pPr>
        <w:pStyle w:val="BodyText"/>
      </w:pPr>
      <w:r>
        <w:t xml:space="preserve">Une composante absente n’est donc jamais remplacée par zéro.</w:t>
      </w:r>
    </w:p>
    <w:p>
      <w:pPr>
        <w:pStyle w:val="BodyText"/>
        <w:keepNext/>
      </w:pPr>
      <w:r>
        <w:t xml:space="preserve">Trois types de loci sont admis :</w:t>
      </w:r>
    </w:p>
    <w:p>
      <w:pPr>
        <w:pStyle w:val="BodyText"/>
      </w:pPr>
      <m:oMathPara>
        <m:oMathParaPr>
          <m:jc m:val="center"/>
        </m:oMathParaPr>
        <m:oMath>
          <m:d>
            <m:dPr>
              <m:begChr m:val="("/>
              <m:endChr m:val=")"/>
              <m:sepChr m:val=""/>
              <m:grow/>
            </m:dPr>
            <m:e>
              <m:r>
                <m:t>g</m:t>
              </m:r>
              <m:r>
                <m:rPr>
                  <m:sty m:val="p"/>
                </m:rPr>
                <m:t>,</m:t>
              </m:r>
              <m:r>
                <m:t>i</m:t>
              </m:r>
            </m:e>
          </m:d>
          <m:r>
            <m:rPr>
              <m:sty m:val="p"/>
            </m:rPr>
            <m:t>,</m:t>
          </m:r>
          <m:r>
            <m:t>  </m:t>
          </m:r>
          <m:d>
            <m:dPr>
              <m:begChr m:val="("/>
              <m:endChr m:val=")"/>
              <m:sepChr m:val=""/>
              <m:grow/>
            </m:dPr>
            <m:e>
              <m:r>
                <m:t>g</m:t>
              </m:r>
              <m:r>
                <m:rPr>
                  <m:sty m:val="p"/>
                </m:rPr>
                <m:t>,</m:t>
              </m:r>
              <m:sSub>
                <m:e>
                  <m:r>
                    <m:rPr>
                      <m:sty m:val="p"/>
                    </m:rPr>
                    <m:t>⊥</m:t>
                  </m:r>
                </m:e>
                <m:sub>
                  <m:r>
                    <m:t>I</m:t>
                  </m:r>
                </m:sub>
              </m:sSub>
            </m:e>
          </m:d>
          <m:r>
            <m:rPr>
              <m:sty m:val="p"/>
            </m:rPr>
            <m:t>,</m:t>
          </m:r>
          <m:r>
            <m:t>  </m:t>
          </m:r>
          <m:d>
            <m:dPr>
              <m:begChr m:val="("/>
              <m:endChr m:val=")"/>
              <m:sepChr m:val=""/>
              <m:grow/>
            </m:dPr>
            <m:e>
              <m:sSub>
                <m:e>
                  <m:r>
                    <m:rPr>
                      <m:sty m:val="p"/>
                    </m:rPr>
                    <m:t>⊥</m:t>
                  </m:r>
                </m:e>
                <m:sub>
                  <m:r>
                    <m:t>G</m:t>
                  </m:r>
                </m:sub>
              </m:sSub>
              <m:r>
                <m:rPr>
                  <m:sty m:val="p"/>
                </m:rPr>
                <m:t>,</m:t>
              </m:r>
              <m:r>
                <m:t>i</m:t>
              </m:r>
            </m:e>
          </m:d>
          <m:r>
            <m:rPr>
              <m:sty m:val="p"/>
            </m:rPr>
            <m:t>.</m:t>
          </m:r>
        </m:oMath>
      </m:oMathPara>
    </w:p>
    <w:p>
      <w:pPr>
        <w:pStyle w:val="FirstParagraph"/>
        <w:keepNext/>
      </w:pPr>
      <w:r>
        <w:t xml:space="preserve">En revanche :</w:t>
      </w:r>
    </w:p>
    <w:p>
      <w:pPr>
        <w:pStyle w:val="BodyText"/>
      </w:pPr>
      <m:oMathPara>
        <m:oMathParaPr>
          <m:jc m:val="center"/>
        </m:oMathParaPr>
        <m:oMath>
          <m:d>
            <m:dPr>
              <m:begChr m:val="("/>
              <m:endChr m:val=")"/>
              <m:sepChr m:val=""/>
              <m:grow/>
            </m:dPr>
            <m:e>
              <m:sSub>
                <m:e>
                  <m:r>
                    <m:rPr>
                      <m:sty m:val="p"/>
                    </m:rPr>
                    <m:t>⊥</m:t>
                  </m:r>
                </m:e>
                <m:sub>
                  <m:r>
                    <m:t>G</m:t>
                  </m:r>
                </m:sub>
              </m:sSub>
              <m:r>
                <m:rPr>
                  <m:sty m:val="p"/>
                </m:rPr>
                <m:t>,</m:t>
              </m:r>
              <m:sSub>
                <m:e>
                  <m:r>
                    <m:rPr>
                      <m:sty m:val="p"/>
                    </m:rPr>
                    <m:t>⊥</m:t>
                  </m:r>
                </m:e>
                <m:sub>
                  <m:r>
                    <m:t>I</m:t>
                  </m:r>
                </m:sub>
              </m:sSub>
            </m:e>
          </m:d>
        </m:oMath>
      </m:oMathPara>
    </w:p>
    <w:p>
      <w:pPr>
        <w:pStyle w:val="FirstParagraph"/>
      </w:pPr>
      <w:r>
        <w:t xml:space="preserve">ne définit aucun locus.</w:t>
      </w:r>
    </w:p>
    <w:bookmarkEnd w:id="34"/>
    <w:bookmarkStart w:id="35" w:name="espace-stratifié-des-loci"/>
    <w:p>
      <w:pPr>
        <w:pStyle w:val="Heading2"/>
      </w:pPr>
      <w:r>
        <w:t xml:space="preserve">3.3. Espace stratifié des loci</w:t>
      </w:r>
    </w:p>
    <w:p>
      <w:pPr>
        <w:pStyle w:val="FirstParagraph"/>
        <w:keepNext/>
      </w:pPr>
      <w:r>
        <w:t xml:space="preserve">On définit :</w:t>
      </w:r>
    </w:p>
    <w:p>
      <w:pPr>
        <w:pStyle w:val="BodyText"/>
      </w:pPr>
      <m:oMathPara>
        <m:oMathParaPr>
          <m:jc m:val="center"/>
        </m:oMathParaPr>
        <m:oMath>
          <m:sSub>
            <m:e>
              <m:r>
                <m:rPr>
                  <m:sty m:val="p"/>
                  <m:scr m:val="script"/>
                </m:rPr>
                <m:t>P</m:t>
              </m:r>
            </m:e>
            <m:sub>
              <m:r>
                <m:t>G</m:t>
              </m:r>
              <m:r>
                <m:t>I</m:t>
              </m:r>
            </m:sub>
          </m:sSub>
          <m:r>
            <m:rPr>
              <m:sty m:val="p"/>
            </m:rPr>
            <m:t>=</m:t>
          </m:r>
          <m:r>
            <m:rPr>
              <m:sty m:val="p"/>
            </m:rPr>
            <m:t>{</m:t>
          </m:r>
          <m:d>
            <m:dPr>
              <m:begChr m:val="("/>
              <m:endChr m:val=")"/>
              <m:sepChr m:val=""/>
              <m:grow/>
            </m:dPr>
            <m:e>
              <m:r>
                <m:t>g</m:t>
              </m:r>
              <m:r>
                <m:rPr>
                  <m:sty m:val="p"/>
                </m:rPr>
                <m:t>,</m:t>
              </m:r>
              <m:r>
                <m:t>i</m:t>
              </m:r>
            </m:e>
          </m:d>
          <m:r>
            <m:rPr>
              <m:sty m:val="p"/>
            </m:rPr>
            <m:t>:</m:t>
          </m:r>
          <m:r>
            <m:t>g</m:t>
          </m:r>
          <m:r>
            <m:rPr>
              <m:sty m:val="p"/>
            </m:rPr>
            <m:t>,</m:t>
          </m:r>
          <m:r>
            <m:t>i</m:t>
          </m:r>
          <m:r>
            <m:rPr>
              <m:sty m:val="p"/>
            </m:rPr>
            <m:t>∈</m:t>
          </m:r>
          <m:r>
            <m:rPr>
              <m:sty m:val="p"/>
              <m:scr m:val="double-struck"/>
            </m:rPr>
            <m:t>R</m:t>
          </m:r>
          <m:r>
            <m:rPr>
              <m:sty m:val="p"/>
            </m:rPr>
            <m:t>}</m:t>
          </m:r>
          <m:r>
            <m:rPr>
              <m:sty m:val="p"/>
            </m:rPr>
            <m:t>,</m:t>
          </m:r>
        </m:oMath>
      </m:oMathPara>
    </w:p>
    <w:p>
      <w:pPr>
        <w:pStyle w:val="FirstParagraph"/>
      </w:pPr>
      <m:oMathPara>
        <m:oMathParaPr>
          <m:jc m:val="center"/>
        </m:oMathParaPr>
        <m:oMath>
          <m:sSub>
            <m:e>
              <m:r>
                <m:rPr>
                  <m:sty m:val="p"/>
                  <m:scr m:val="script"/>
                </m:rPr>
                <m:t>P</m:t>
              </m:r>
            </m:e>
            <m:sub>
              <m:r>
                <m:t>G</m:t>
              </m:r>
            </m:sub>
          </m:sSub>
          <m:r>
            <m:rPr>
              <m:sty m:val="p"/>
            </m:rPr>
            <m:t>=</m:t>
          </m:r>
          <m:r>
            <m:rPr>
              <m:sty m:val="p"/>
            </m:rPr>
            <m:t>{</m:t>
          </m:r>
          <m:d>
            <m:dPr>
              <m:begChr m:val="("/>
              <m:endChr m:val=")"/>
              <m:sepChr m:val=""/>
              <m:grow/>
            </m:dPr>
            <m:e>
              <m:r>
                <m:t>g</m:t>
              </m:r>
              <m:r>
                <m:rPr>
                  <m:sty m:val="p"/>
                </m:rPr>
                <m:t>,</m:t>
              </m:r>
              <m:sSub>
                <m:e>
                  <m:r>
                    <m:rPr>
                      <m:sty m:val="p"/>
                    </m:rPr>
                    <m:t>⊥</m:t>
                  </m:r>
                </m:e>
                <m:sub>
                  <m:r>
                    <m:t>I</m:t>
                  </m:r>
                </m:sub>
              </m:sSub>
            </m:e>
          </m:d>
          <m:r>
            <m:rPr>
              <m:sty m:val="p"/>
            </m:rPr>
            <m:t>:</m:t>
          </m:r>
          <m:r>
            <m:t>g</m:t>
          </m:r>
          <m:r>
            <m:rPr>
              <m:sty m:val="p"/>
            </m:rPr>
            <m:t>∈</m:t>
          </m:r>
          <m:r>
            <m:rPr>
              <m:sty m:val="p"/>
              <m:scr m:val="double-struck"/>
            </m:rPr>
            <m:t>R</m:t>
          </m:r>
          <m:r>
            <m:rPr>
              <m:sty m:val="p"/>
            </m:rPr>
            <m:t>}</m:t>
          </m:r>
          <m:r>
            <m:rPr>
              <m:sty m:val="p"/>
            </m:rPr>
            <m:t>,</m:t>
          </m:r>
        </m:oMath>
      </m:oMathPara>
    </w:p>
    <w:p>
      <w:pPr>
        <w:pStyle w:val="FirstParagraph"/>
      </w:pPr>
      <m:oMathPara>
        <m:oMathParaPr>
          <m:jc m:val="center"/>
        </m:oMathParaPr>
        <m:oMath>
          <m:sSub>
            <m:e>
              <m:r>
                <m:rPr>
                  <m:sty m:val="p"/>
                  <m:scr m:val="script"/>
                </m:rPr>
                <m:t>P</m:t>
              </m:r>
            </m:e>
            <m:sub>
              <m:r>
                <m:t>I</m:t>
              </m:r>
            </m:sub>
          </m:sSub>
          <m:r>
            <m:rPr>
              <m:sty m:val="p"/>
            </m:rPr>
            <m:t>=</m:t>
          </m:r>
          <m:r>
            <m:rPr>
              <m:sty m:val="p"/>
            </m:rPr>
            <m:t>{</m:t>
          </m:r>
          <m:d>
            <m:dPr>
              <m:begChr m:val="("/>
              <m:endChr m:val=")"/>
              <m:sepChr m:val=""/>
              <m:grow/>
            </m:dPr>
            <m:e>
              <m:sSub>
                <m:e>
                  <m:r>
                    <m:rPr>
                      <m:sty m:val="p"/>
                    </m:rPr>
                    <m:t>⊥</m:t>
                  </m:r>
                </m:e>
                <m:sub>
                  <m:r>
                    <m:t>G</m:t>
                  </m:r>
                </m:sub>
              </m:sSub>
              <m:r>
                <m:rPr>
                  <m:sty m:val="p"/>
                </m:rPr>
                <m:t>,</m:t>
              </m:r>
              <m:r>
                <m:t>i</m:t>
              </m:r>
            </m:e>
          </m:d>
          <m:r>
            <m:rPr>
              <m:sty m:val="p"/>
            </m:rPr>
            <m:t>:</m:t>
          </m:r>
          <m:r>
            <m:t>i</m:t>
          </m:r>
          <m:r>
            <m:rPr>
              <m:sty m:val="p"/>
            </m:rPr>
            <m:t>∈</m:t>
          </m:r>
          <m:r>
            <m:rPr>
              <m:sty m:val="p"/>
              <m:scr m:val="double-struck"/>
            </m:rPr>
            <m:t>R</m:t>
          </m:r>
          <m:r>
            <m:rPr>
              <m:sty m:val="p"/>
            </m:rPr>
            <m:t>}</m:t>
          </m:r>
          <m:r>
            <m:rPr>
              <m:sty m:val="p"/>
            </m:rPr>
            <m:t>.</m:t>
          </m:r>
        </m:oMath>
      </m:oMathPara>
    </w:p>
    <w:p>
      <w:pPr>
        <w:pStyle w:val="FirstParagraph"/>
        <w:keepNext/>
      </w:pPr>
      <w:r>
        <w:t xml:space="preserve">L’espace des loci est la réunion disjointe :</w:t>
      </w:r>
    </w:p>
    <w:p>
      <w:pPr>
        <w:pStyle w:val="BodyText"/>
      </w:pPr>
      <m:oMathPara>
        <m:oMathParaPr>
          <m:jc m:val="center"/>
        </m:oMathParaPr>
        <m:oMath>
          <m:borderBox>
            <m:e>
              <m:sSub>
                <m:e>
                  <m:r>
                    <m:rPr>
                      <m:sty m:val="p"/>
                      <m:scr m:val="script"/>
                    </m:rPr>
                    <m:t>P</m:t>
                  </m:r>
                </m:e>
                <m:sub>
                  <m:r>
                    <m:t>M</m:t>
                  </m:r>
                </m:sub>
              </m:sSub>
              <m:r>
                <m:rPr>
                  <m:sty m:val="p"/>
                </m:rPr>
                <m:t>=</m:t>
              </m:r>
              <m:sSub>
                <m:e>
                  <m:r>
                    <m:rPr>
                      <m:sty m:val="p"/>
                      <m:scr m:val="script"/>
                    </m:rPr>
                    <m:t>P</m:t>
                  </m:r>
                </m:e>
                <m:sub>
                  <m:r>
                    <m:t>G</m:t>
                  </m:r>
                  <m:r>
                    <m:t>I</m:t>
                  </m:r>
                </m:sub>
              </m:sSub>
              <m:r>
                <m:rPr>
                  <m:sty m:val="p"/>
                </m:rPr>
                <m:t>⊔</m:t>
              </m:r>
              <m:sSub>
                <m:e>
                  <m:r>
                    <m:rPr>
                      <m:sty m:val="p"/>
                      <m:scr m:val="script"/>
                    </m:rPr>
                    <m:t>P</m:t>
                  </m:r>
                </m:e>
                <m:sub>
                  <m:r>
                    <m:t>G</m:t>
                  </m:r>
                </m:sub>
              </m:sSub>
              <m:r>
                <m:rPr>
                  <m:sty m:val="p"/>
                </m:rPr>
                <m:t>⊔</m:t>
              </m:r>
              <m:sSub>
                <m:e>
                  <m:r>
                    <m:rPr>
                      <m:sty m:val="p"/>
                      <m:scr m:val="script"/>
                    </m:rPr>
                    <m:t>P</m:t>
                  </m:r>
                </m:e>
                <m:sub>
                  <m:r>
                    <m:t>I</m:t>
                  </m:r>
                </m:sub>
              </m:sSub>
              <m:r>
                <m:rPr>
                  <m:sty m:val="p"/>
                </m:rPr>
                <m:t>.</m:t>
              </m:r>
            </m:e>
          </m:borderBox>
        </m:oMath>
      </m:oMathPara>
    </w:p>
    <w:p>
      <w:pPr>
        <w:pStyle w:val="MakoloCallout"/>
      </w:pPr>
      <w:r>
        <w:rPr>
          <w:rFonts w:ascii="Aptos" w:hAnsi="Aptos" w:eastAsia="Aptos"/>
          <w:b/>
          <w:bCs/>
          <w:color w:val="5232DB"/>
          <w:sz w:val="19"/>
        </w:rPr>
        <w:t xml:space="preserve">RETENU</w:t>
      </w:r>
      <w:r>
        <w:rPr>
          <w:rFonts w:ascii="Aptos" w:hAnsi="Aptos" w:eastAsia="Aptos"/>
          <w:b/>
          <w:color w:val="5232DB"/>
          <w:sz w:val="19"/>
        </w:rPr>
        <w:t xml:space="preserve">.</w:t>
      </w:r>
    </w:p>
    <w:p>
      <w:pPr>
        <w:pStyle w:val="BodyText"/>
        <w:keepNext/>
      </w:pPr>
      <w:r>
        <w:t xml:space="preserve">Cette écriture donne à l’espace une structure</w:t>
      </w:r>
      <w:r>
        <w:t xml:space="preserve"> </w:t>
      </w:r>
      <w:r>
        <w:rPr>
          <w:b/>
          <w:bCs/>
        </w:rPr>
        <w:t xml:space="preserve">stratifiée</w:t>
      </w:r>
      <w:r>
        <w:t xml:space="preserve"> </w:t>
      </w:r>
      <w:r>
        <w:t xml:space="preserve">:</w:t>
      </w:r>
    </w:p>
    <w:p>
      <w:pPr>
        <w:pStyle w:val="Compact"/>
        <w:numPr>
          <w:ilvl w:val="0"/>
          <w:numId w:val="1005"/>
        </w:numPr>
      </w:pPr>
      <w:r>
        <w:t xml:space="preserve">une strate complète bidimensionnelle ;</w:t>
      </w:r>
    </w:p>
    <w:p>
      <w:pPr>
        <w:pStyle w:val="Compact"/>
        <w:numPr>
          <w:ilvl w:val="0"/>
          <w:numId w:val="1005"/>
        </w:numPr>
      </w:pPr>
      <w:r>
        <w:t xml:space="preserve">une strate géographique unidimensionnelle ;</w:t>
      </w:r>
    </w:p>
    <w:p>
      <w:pPr>
        <w:pStyle w:val="Compact"/>
        <w:numPr>
          <w:ilvl w:val="0"/>
          <w:numId w:val="1005"/>
        </w:numPr>
      </w:pPr>
      <w:r>
        <w:t xml:space="preserve">une strate logique unidimensionnelle.</w:t>
      </w:r>
    </w:p>
    <w:p>
      <w:pPr>
        <w:pStyle w:val="FirstParagraph"/>
      </w:pPr>
      <w:r>
        <w:t xml:space="preserve">Aucune distance entre deux strates différentes n’est définie automatiquement.</w:t>
      </w:r>
    </w:p>
    <w:bookmarkEnd w:id="35"/>
    <w:bookmarkEnd w:id="36"/>
    <w:bookmarkStart w:id="42" w:name="géométrie-interne-du-pointmakolo"/>
    <w:p>
      <w:pPr>
        <w:pStyle w:val="Heading1"/>
      </w:pPr>
      <w:r>
        <w:t xml:space="preserve">4. Géométrie interne du PointMakolo</w:t>
      </w:r>
    </w:p>
    <w:bookmarkStart w:id="37" w:name="secteur-complet"/>
    <w:p>
      <w:pPr>
        <w:pStyle w:val="Heading2"/>
      </w:pPr>
      <w:r>
        <w:t xml:space="preserve">4.1. Secteur complet</w:t>
      </w:r>
    </w:p>
    <w:p>
      <w:pPr>
        <w:pStyle w:val="FirstParagraph"/>
      </w:pPr>
      <w:r>
        <w:t xml:space="preserve">Le secteur complet</w:t>
      </w:r>
      <w:r>
        <w:t xml:space="preserve"> </w:t>
      </w:r>
      <m:oMath>
        <m:sSub>
          <m:e>
            <m:r>
              <m:rPr>
                <m:sty m:val="p"/>
                <m:scr m:val="script"/>
              </m:rPr>
              <m:t>P</m:t>
            </m:r>
          </m:e>
          <m:sub>
            <m:r>
              <m:t>G</m:t>
            </m:r>
            <m:r>
              <m:t>I</m:t>
            </m:r>
          </m:sub>
        </m:sSub>
      </m:oMath>
      <w:r>
        <w:t xml:space="preserve"> </w:t>
      </w:r>
      <w:r>
        <w:t xml:space="preserve">est défini comme un</w:t>
      </w:r>
      <w:r>
        <w:t xml:space="preserve"> </w:t>
      </w:r>
      <w:r>
        <w:rPr>
          <w:b/>
          <w:bCs/>
        </w:rPr>
        <w:t xml:space="preserve">plan affine réel de dimension deux</w:t>
      </w:r>
      <w:r>
        <w:t xml:space="preserve">.</w:t>
      </w:r>
    </w:p>
    <w:p>
      <w:pPr>
        <w:pStyle w:val="BodyText"/>
      </w:pPr>
      <m:oMathPara>
        <m:oMathParaPr>
          <m:jc m:val="center"/>
        </m:oMathParaPr>
        <m:oMath>
          <m:borderBox>
            <m:e>
              <m:sSub>
                <m:e>
                  <m:r>
                    <m:rPr>
                      <m:sty m:val="p"/>
                      <m:scr m:val="script"/>
                    </m:rPr>
                    <m:t>P</m:t>
                  </m:r>
                </m:e>
                <m:sub>
                  <m:r>
                    <m:t>G</m:t>
                  </m:r>
                  <m:r>
                    <m:t>I</m:t>
                  </m:r>
                </m:sub>
              </m:sSub>
              <m:r>
                <m:rPr>
                  <m:sty m:val="p"/>
                </m:rPr>
                <m:t>≃</m:t>
              </m:r>
              <m:sSup>
                <m:e>
                  <m:r>
                    <m:rPr>
                      <m:sty m:val="p"/>
                      <m:scr m:val="double-struck"/>
                    </m:rPr>
                    <m:t>A</m:t>
                  </m:r>
                </m:e>
                <m:sup>
                  <m:r>
                    <m:t>2</m:t>
                  </m:r>
                </m:sup>
              </m:sSup>
              <m:d>
                <m:dPr>
                  <m:begChr m:val="("/>
                  <m:endChr m:val=")"/>
                  <m:sepChr m:val=""/>
                  <m:grow/>
                </m:dPr>
                <m:e>
                  <m:r>
                    <m:rPr>
                      <m:sty m:val="p"/>
                      <m:scr m:val="double-struck"/>
                    </m:rPr>
                    <m:t>R</m:t>
                  </m:r>
                </m:e>
              </m:d>
            </m:e>
          </m:borderBox>
        </m:oMath>
      </m:oMathPara>
    </w:p>
    <w:p>
      <w:pPr>
        <w:pStyle w:val="FirstParagraph"/>
      </w:pPr>
      <w:r>
        <w:rPr>
          <w:b/>
          <w:bCs/>
        </w:rPr>
        <w:t xml:space="preserve">RETENU comme décision constitutive</w:t>
      </w:r>
      <w:r>
        <w:t xml:space="preserve">.</w:t>
      </w:r>
    </w:p>
    <w:p>
      <w:pPr>
        <w:pStyle w:val="BodyText"/>
        <w:keepNext/>
      </w:pPr>
      <w:r>
        <w:t xml:space="preserve">Son espace vectoriel directeur est :</w:t>
      </w:r>
    </w:p>
    <w:p>
      <w:pPr>
        <w:pStyle w:val="BodyText"/>
      </w:pPr>
      <m:oMathPara>
        <m:oMathParaPr>
          <m:jc m:val="center"/>
        </m:oMathParaPr>
        <m:oMath>
          <m:sSub>
            <m:e>
              <m:r>
                <m:t>V</m:t>
              </m:r>
            </m:e>
            <m:sub>
              <m:r>
                <m:t>M</m:t>
              </m:r>
            </m:sub>
          </m:sSub>
          <m:r>
            <m:rPr>
              <m:sty m:val="p"/>
            </m:rPr>
            <m:t>≃</m:t>
          </m:r>
          <m:sSup>
            <m:e>
              <m:r>
                <m:rPr>
                  <m:sty m:val="p"/>
                  <m:scr m:val="double-struck"/>
                </m:rPr>
                <m:t>R</m:t>
              </m:r>
            </m:e>
            <m:sup>
              <m:r>
                <m:t>2</m:t>
              </m:r>
            </m:sup>
          </m:sSup>
          <m:r>
            <m:rPr>
              <m:sty m:val="p"/>
            </m:rPr>
            <m:t>.</m:t>
          </m:r>
        </m:oMath>
      </m:oMathPara>
    </w:p>
    <w:p>
      <w:pPr>
        <w:pStyle w:val="FirstParagraph"/>
        <w:keepNext/>
      </w:pPr>
      <w:r>
        <w:t xml:space="preserve">Pour deux points :</w:t>
      </w:r>
    </w:p>
    <w:p>
      <w:pPr>
        <w:pStyle w:val="BodyText"/>
      </w:pPr>
      <m:oMathPara>
        <m:oMathParaPr>
          <m:jc m:val="center"/>
        </m:oMathParaPr>
        <m:oMath>
          <m:sSub>
            <m:e>
              <m:r>
                <m:t>p</m:t>
              </m:r>
            </m:e>
            <m:sub>
              <m:r>
                <m:t>A</m:t>
              </m:r>
            </m:sub>
          </m:sSub>
          <m:r>
            <m:rPr>
              <m:sty m:val="p"/>
            </m:rPr>
            <m:t>=</m:t>
          </m:r>
          <m:d>
            <m:dPr>
              <m:begChr m:val="("/>
              <m:endChr m:val=")"/>
              <m:sepChr m:val=""/>
              <m:grow/>
            </m:dPr>
            <m:e>
              <m:sSub>
                <m:e>
                  <m:r>
                    <m:t>g</m:t>
                  </m:r>
                </m:e>
                <m:sub>
                  <m:r>
                    <m:t>A</m:t>
                  </m:r>
                </m:sub>
              </m:sSub>
              <m:r>
                <m:rPr>
                  <m:sty m:val="p"/>
                </m:rPr>
                <m:t>,</m:t>
              </m:r>
              <m:sSub>
                <m:e>
                  <m:r>
                    <m:t>i</m:t>
                  </m:r>
                </m:e>
                <m:sub>
                  <m:r>
                    <m:t>A</m:t>
                  </m:r>
                </m:sub>
              </m:sSub>
            </m:e>
          </m:d>
          <m:r>
            <m:rPr>
              <m:sty m:val="p"/>
            </m:rPr>
            <m:t>,</m:t>
          </m:r>
          <m:r>
            <m:t>  </m:t>
          </m:r>
          <m:sSub>
            <m:e>
              <m:r>
                <m:t>p</m:t>
              </m:r>
            </m:e>
            <m:sub>
              <m:r>
                <m:t>B</m:t>
              </m:r>
            </m:sub>
          </m:sSub>
          <m:r>
            <m:rPr>
              <m:sty m:val="p"/>
            </m:rPr>
            <m:t>=</m:t>
          </m:r>
          <m:d>
            <m:dPr>
              <m:begChr m:val="("/>
              <m:endChr m:val=")"/>
              <m:sepChr m:val=""/>
              <m:grow/>
            </m:dPr>
            <m:e>
              <m:sSub>
                <m:e>
                  <m:r>
                    <m:t>g</m:t>
                  </m:r>
                </m:e>
                <m:sub>
                  <m:r>
                    <m:t>B</m:t>
                  </m:r>
                </m:sub>
              </m:sSub>
              <m:r>
                <m:rPr>
                  <m:sty m:val="p"/>
                </m:rPr>
                <m:t>,</m:t>
              </m:r>
              <m:sSub>
                <m:e>
                  <m:r>
                    <m:t>i</m:t>
                  </m:r>
                </m:e>
                <m:sub>
                  <m:r>
                    <m:t>B</m:t>
                  </m:r>
                </m:sub>
              </m:sSub>
            </m:e>
          </m:d>
          <m:r>
            <m:rPr>
              <m:sty m:val="p"/>
            </m:rPr>
            <m:t>,</m:t>
          </m:r>
        </m:oMath>
      </m:oMathPara>
    </w:p>
    <w:p>
      <w:pPr>
        <w:pStyle w:val="FirstParagraph"/>
        <w:keepNext/>
      </w:pPr>
      <w:r>
        <w:t xml:space="preserve">le déplacement est :</w:t>
      </w:r>
    </w:p>
    <w:p>
      <w:pPr>
        <w:pStyle w:val="BodyText"/>
      </w:pPr>
      <m:oMathPara>
        <m:oMathParaPr>
          <m:jc m:val="center"/>
        </m:oMathParaPr>
        <m:oMath>
          <m:borderBox>
            <m:e>
              <m:acc>
                <m:accPr>
                  <m:chr m:val="⃗"/>
                </m:accPr>
                <m:e>
                  <m:r>
                    <m:t>A</m:t>
                  </m:r>
                  <m:r>
                    <m:t>B</m:t>
                  </m:r>
                </m:e>
              </m:acc>
              <m:r>
                <m:rPr>
                  <m:sty m:val="p"/>
                </m:rPr>
                <m:t>=</m:t>
              </m:r>
              <m:sSub>
                <m:e>
                  <m:r>
                    <m:t>p</m:t>
                  </m:r>
                </m:e>
                <m:sub>
                  <m:r>
                    <m:t>B</m:t>
                  </m:r>
                </m:sub>
              </m:sSub>
              <m:r>
                <m:rPr>
                  <m:sty m:val="p"/>
                </m:rPr>
                <m:t>−</m:t>
              </m:r>
              <m:sSub>
                <m:e>
                  <m:r>
                    <m:t>p</m:t>
                  </m:r>
                </m:e>
                <m:sub>
                  <m:r>
                    <m:t>A</m:t>
                  </m:r>
                </m:sub>
              </m:sSub>
              <m:r>
                <m:rPr>
                  <m:sty m:val="p"/>
                </m:rPr>
                <m:t>=</m:t>
              </m:r>
              <m:d>
                <m:dPr>
                  <m:begChr m:val="("/>
                  <m:endChr m:val=")"/>
                  <m:sepChr m:val=""/>
                  <m:grow/>
                </m:dPr>
                <m:e>
                  <m:r>
                    <m:t>Δ</m:t>
                  </m:r>
                  <m:r>
                    <m:t>g</m:t>
                  </m:r>
                  <m:r>
                    <m:rPr>
                      <m:sty m:val="p"/>
                    </m:rPr>
                    <m:t>,</m:t>
                  </m:r>
                  <m:r>
                    <m:t>Δ</m:t>
                  </m:r>
                  <m:r>
                    <m:t>i</m:t>
                  </m:r>
                </m:e>
              </m:d>
            </m:e>
          </m:borderBox>
        </m:oMath>
      </m:oMathPara>
    </w:p>
    <w:p>
      <w:pPr>
        <w:pStyle w:val="FirstParagraph"/>
        <w:keepNext/>
      </w:pPr>
      <w:r>
        <w:t xml:space="preserve">avec :</w:t>
      </w:r>
    </w:p>
    <w:p>
      <w:pPr>
        <w:pStyle w:val="BodyText"/>
      </w:pPr>
      <m:oMathPara>
        <m:oMathParaPr>
          <m:jc m:val="center"/>
        </m:oMathParaPr>
        <m:oMath>
          <m:r>
            <m:t>Δ</m:t>
          </m:r>
          <m:r>
            <m:t>g</m:t>
          </m:r>
          <m:r>
            <m:rPr>
              <m:sty m:val="p"/>
            </m:rPr>
            <m:t>=</m:t>
          </m:r>
          <m:sSub>
            <m:e>
              <m:r>
                <m:t>g</m:t>
              </m:r>
            </m:e>
            <m:sub>
              <m:r>
                <m:t>B</m:t>
              </m:r>
            </m:sub>
          </m:sSub>
          <m:r>
            <m:rPr>
              <m:sty m:val="p"/>
            </m:rPr>
            <m:t>−</m:t>
          </m:r>
          <m:sSub>
            <m:e>
              <m:r>
                <m:t>g</m:t>
              </m:r>
            </m:e>
            <m:sub>
              <m:r>
                <m:t>A</m:t>
              </m:r>
            </m:sub>
          </m:sSub>
          <m:r>
            <m:rPr>
              <m:sty m:val="p"/>
            </m:rPr>
            <m:t>,</m:t>
          </m:r>
          <m:r>
            <m:t>  </m:t>
          </m:r>
          <m:r>
            <m:t>Δ</m:t>
          </m:r>
          <m:r>
            <m:t>i</m:t>
          </m:r>
          <m:r>
            <m:rPr>
              <m:sty m:val="p"/>
            </m:rPr>
            <m:t>=</m:t>
          </m:r>
          <m:sSub>
            <m:e>
              <m:r>
                <m:t>i</m:t>
              </m:r>
            </m:e>
            <m:sub>
              <m:r>
                <m:t>B</m:t>
              </m:r>
            </m:sub>
          </m:sSub>
          <m:r>
            <m:rPr>
              <m:sty m:val="p"/>
            </m:rPr>
            <m:t>−</m:t>
          </m:r>
          <m:sSub>
            <m:e>
              <m:r>
                <m:t>i</m:t>
              </m:r>
            </m:e>
            <m:sub>
              <m:r>
                <m:t>A</m:t>
              </m:r>
            </m:sub>
          </m:sSub>
          <m:r>
            <m:rPr>
              <m:sty m:val="p"/>
            </m:rPr>
            <m:t>.</m:t>
          </m:r>
        </m:oMath>
      </m:oMathPara>
    </w:p>
    <w:p>
      <w:pPr>
        <w:pStyle w:val="FirstParagraph"/>
        <w:keepNext/>
      </w:pPr>
      <w:r>
        <w:t xml:space="preserve">La relation de Chasles suit immédiatement :</w:t>
      </w:r>
    </w:p>
    <w:p>
      <w:pPr>
        <w:pStyle w:val="BodyText"/>
      </w:pPr>
      <m:oMathPara>
        <m:oMathParaPr>
          <m:jc m:val="center"/>
        </m:oMathParaPr>
        <m:oMath>
          <m:borderBox>
            <m:e>
              <m:acc>
                <m:accPr>
                  <m:chr m:val="⃗"/>
                </m:accPr>
                <m:e>
                  <m:r>
                    <m:t>A</m:t>
                  </m:r>
                  <m:r>
                    <m:t>B</m:t>
                  </m:r>
                </m:e>
              </m:acc>
              <m:r>
                <m:rPr>
                  <m:sty m:val="p"/>
                </m:rPr>
                <m:t>+</m:t>
              </m:r>
              <m:acc>
                <m:accPr>
                  <m:chr m:val="⃗"/>
                </m:accPr>
                <m:e>
                  <m:r>
                    <m:t>B</m:t>
                  </m:r>
                  <m:r>
                    <m:t>C</m:t>
                  </m:r>
                </m:e>
              </m:acc>
              <m:r>
                <m:rPr>
                  <m:sty m:val="p"/>
                </m:rPr>
                <m:t>=</m:t>
              </m:r>
              <m:acc>
                <m:accPr>
                  <m:chr m:val="⃗"/>
                </m:accPr>
                <m:e>
                  <m:r>
                    <m:t>A</m:t>
                  </m:r>
                  <m:r>
                    <m:t>C</m:t>
                  </m:r>
                </m:e>
              </m:acc>
              <m:r>
                <m:rPr>
                  <m:sty m:val="p"/>
                </m:rPr>
                <m:t>.</m:t>
              </m:r>
            </m:e>
          </m:borderBox>
        </m:oMath>
      </m:oMathPara>
    </w:p>
    <w:p>
      <w:pPr>
        <w:pStyle w:val="FirstParagraph"/>
      </w:pPr>
      <w:r>
        <w:rPr>
          <w:b/>
          <w:bCs/>
        </w:rPr>
        <w:t xml:space="preserve">RETENU comme théorème dérivé</w:t>
      </w:r>
      <w:r>
        <w:t xml:space="preserve">.</w:t>
      </w:r>
    </w:p>
    <w:bookmarkEnd w:id="37"/>
    <w:bookmarkStart w:id="38" w:name="produit-scalaire-makolo"/>
    <w:p>
      <w:pPr>
        <w:pStyle w:val="Heading2"/>
      </w:pPr>
      <w:r>
        <w:t xml:space="preserve">4.2. Produit scalaire Makolo</w:t>
      </w:r>
    </w:p>
    <w:p>
      <w:pPr>
        <w:pStyle w:val="FirstParagraph"/>
        <w:keepNext/>
      </w:pPr>
      <w:r>
        <w:t xml:space="preserve">Le secteur complet est muni du produit scalaire standard :</w:t>
      </w:r>
    </w:p>
    <w:p>
      <w:pPr>
        <w:pStyle w:val="BodyText"/>
      </w:pPr>
      <m:oMathPara>
        <m:oMathParaPr>
          <m:jc m:val="center"/>
        </m:oMathParaPr>
        <m:oMath>
          <m:borderBox>
            <m:e>
              <m:r>
                <m:rPr>
                  <m:sty m:val="p"/>
                </m:rPr>
                <m:t>⟨</m:t>
              </m:r>
              <m:d>
                <m:dPr>
                  <m:begChr m:val="("/>
                  <m:endChr m:val=")"/>
                  <m:sepChr m:val=""/>
                  <m:grow/>
                </m:dPr>
                <m:e>
                  <m:r>
                    <m:t>a</m:t>
                  </m:r>
                  <m:r>
                    <m:rPr>
                      <m:sty m:val="p"/>
                    </m:rPr>
                    <m:t>,</m:t>
                  </m:r>
                  <m:r>
                    <m:t>b</m:t>
                  </m:r>
                </m:e>
              </m:d>
              <m:r>
                <m:rPr>
                  <m:sty m:val="p"/>
                </m:rPr>
                <m:t>,</m:t>
              </m:r>
              <m:d>
                <m:dPr>
                  <m:begChr m:val="("/>
                  <m:endChr m:val=")"/>
                  <m:sepChr m:val=""/>
                  <m:grow/>
                </m:dPr>
                <m:e>
                  <m:r>
                    <m:t>c</m:t>
                  </m:r>
                  <m:r>
                    <m:rPr>
                      <m:sty m:val="p"/>
                    </m:rPr>
                    <m:t>,</m:t>
                  </m:r>
                  <m:r>
                    <m:t>d</m:t>
                  </m:r>
                </m:e>
              </m:d>
              <m:sSub>
                <m:e>
                  <m:r>
                    <m:rPr>
                      <m:sty m:val="p"/>
                    </m:rPr>
                    <m:t>⟩</m:t>
                  </m:r>
                </m:e>
                <m:sub>
                  <m:r>
                    <m:t>M</m:t>
                  </m:r>
                </m:sub>
              </m:sSub>
              <m:r>
                <m:rPr>
                  <m:sty m:val="p"/>
                </m:rPr>
                <m:t>=</m:t>
              </m:r>
              <m:r>
                <m:t>a</m:t>
              </m:r>
              <m:r>
                <m:t>c</m:t>
              </m:r>
              <m:r>
                <m:rPr>
                  <m:sty m:val="p"/>
                </m:rPr>
                <m:t>+</m:t>
              </m:r>
              <m:r>
                <m:t>b</m:t>
              </m:r>
              <m:r>
                <m:t>d</m:t>
              </m:r>
              <m:r>
                <m:rPr>
                  <m:sty m:val="p"/>
                </m:rPr>
                <m:t>.</m:t>
              </m:r>
            </m:e>
          </m:borderBox>
        </m:oMath>
      </m:oMathPara>
    </w:p>
    <w:p>
      <w:pPr>
        <w:pStyle w:val="FirstParagraph"/>
      </w:pPr>
      <w:r>
        <w:rPr>
          <w:b/>
          <w:bCs/>
        </w:rPr>
        <w:t xml:space="preserve">RETENU comme décision constitutive</w:t>
      </w:r>
      <w:r>
        <w:t xml:space="preserve">.</w:t>
      </w:r>
    </w:p>
    <w:p>
      <w:pPr>
        <w:pStyle w:val="BodyText"/>
        <w:keepNext/>
      </w:pPr>
      <w:r>
        <w:t xml:space="preserve">Il induit la norme :</w:t>
      </w:r>
    </w:p>
    <w:p>
      <w:pPr>
        <w:pStyle w:val="BodyText"/>
      </w:pPr>
      <m:oMathPara>
        <m:oMathParaPr>
          <m:jc m:val="center"/>
        </m:oMathParaPr>
        <m:oMath>
          <m:borderBox>
            <m:e>
              <m:r>
                <m:rPr>
                  <m:sty m:val="p"/>
                </m:rPr>
                <m:t>∥</m:t>
              </m:r>
              <m:d>
                <m:dPr>
                  <m:begChr m:val="("/>
                  <m:endChr m:val=")"/>
                  <m:sepChr m:val=""/>
                  <m:grow/>
                </m:dPr>
                <m:e>
                  <m:r>
                    <m:t>a</m:t>
                  </m:r>
                  <m:r>
                    <m:rPr>
                      <m:sty m:val="p"/>
                    </m:rPr>
                    <m:t>,</m:t>
                  </m:r>
                  <m:r>
                    <m:t>b</m:t>
                  </m:r>
                </m:e>
              </m:d>
              <m:sSub>
                <m:e>
                  <m:r>
                    <m:rPr>
                      <m:sty m:val="p"/>
                    </m:rPr>
                    <m:t>∥</m:t>
                  </m:r>
                </m:e>
                <m:sub>
                  <m:r>
                    <m:t>M</m:t>
                  </m:r>
                </m:sub>
              </m:sSub>
              <m:r>
                <m:rPr>
                  <m:sty m:val="p"/>
                </m:rPr>
                <m:t>=</m:t>
              </m:r>
              <m:rad>
                <m:radPr>
                  <m:degHide m:val="on"/>
                </m:radPr>
                <m:deg/>
                <m:e>
                  <m:sSup>
                    <m:e>
                      <m:r>
                        <m:t>a</m:t>
                      </m:r>
                    </m:e>
                    <m:sup>
                      <m:r>
                        <m:t>2</m:t>
                      </m:r>
                    </m:sup>
                  </m:sSup>
                  <m:r>
                    <m:rPr>
                      <m:sty m:val="p"/>
                    </m:rPr>
                    <m:t>+</m:t>
                  </m:r>
                  <m:sSup>
                    <m:e>
                      <m:r>
                        <m:t>b</m:t>
                      </m:r>
                    </m:e>
                    <m:sup>
                      <m:r>
                        <m:t>2</m:t>
                      </m:r>
                    </m:sup>
                  </m:sSup>
                </m:e>
              </m:rad>
            </m:e>
          </m:borderBox>
        </m:oMath>
      </m:oMathPara>
    </w:p>
    <w:p>
      <w:pPr>
        <w:pStyle w:val="FirstParagraph"/>
        <w:keepNext/>
      </w:pPr>
      <w:r>
        <w:t xml:space="preserve">et la distance interne :</w:t>
      </w:r>
    </w:p>
    <w:p>
      <w:pPr>
        <w:pStyle w:val="BodyText"/>
      </w:pPr>
      <m:oMathPara>
        <m:oMathParaPr>
          <m:jc m:val="center"/>
        </m:oMathParaPr>
        <m:oMath>
          <m:borderBox>
            <m:e>
              <m:sSub>
                <m:e>
                  <m:r>
                    <m:t>d</m:t>
                  </m:r>
                </m:e>
                <m:sub>
                  <m:r>
                    <m:t>M</m:t>
                  </m:r>
                </m:sub>
              </m:sSub>
              <m:d>
                <m:dPr>
                  <m:begChr m:val="("/>
                  <m:endChr m:val=")"/>
                  <m:sepChr m:val=""/>
                  <m:grow/>
                </m:dPr>
                <m:e>
                  <m:r>
                    <m:t>A</m:t>
                  </m:r>
                  <m:r>
                    <m:rPr>
                      <m:sty m:val="p"/>
                    </m:rPr>
                    <m:t>,</m:t>
                  </m:r>
                  <m:r>
                    <m:t>B</m:t>
                  </m:r>
                </m:e>
              </m:d>
              <m:r>
                <m:rPr>
                  <m:sty m:val="p"/>
                </m:rPr>
                <m:t>=</m:t>
              </m:r>
              <m:rad>
                <m:radPr>
                  <m:degHide m:val="on"/>
                </m:radPr>
                <m:deg/>
                <m:e>
                  <m:sSup>
                    <m:e>
                      <m:d>
                        <m:dPr>
                          <m:begChr m:val="("/>
                          <m:endChr m:val=")"/>
                          <m:sepChr m:val=""/>
                          <m:grow/>
                        </m:dPr>
                        <m:e>
                          <m:sSub>
                            <m:e>
                              <m:r>
                                <m:t>g</m:t>
                              </m:r>
                            </m:e>
                            <m:sub>
                              <m:r>
                                <m:t>B</m:t>
                              </m:r>
                            </m:sub>
                          </m:sSub>
                          <m:r>
                            <m:rPr>
                              <m:sty m:val="p"/>
                            </m:rPr>
                            <m:t>−</m:t>
                          </m:r>
                          <m:sSub>
                            <m:e>
                              <m:r>
                                <m:t>g</m:t>
                              </m:r>
                            </m:e>
                            <m:sub>
                              <m:r>
                                <m:t>A</m:t>
                              </m:r>
                            </m:sub>
                          </m:sSub>
                        </m:e>
                      </m:d>
                    </m:e>
                    <m:sup>
                      <m:r>
                        <m:t>2</m:t>
                      </m:r>
                    </m:sup>
                  </m:sSup>
                  <m:r>
                    <m:rPr>
                      <m:sty m:val="p"/>
                    </m:rPr>
                    <m:t>+</m:t>
                  </m:r>
                  <m:sSup>
                    <m:e>
                      <m:d>
                        <m:dPr>
                          <m:begChr m:val="("/>
                          <m:endChr m:val=")"/>
                          <m:sepChr m:val=""/>
                          <m:grow/>
                        </m:dPr>
                        <m:e>
                          <m:sSub>
                            <m:e>
                              <m:r>
                                <m:t>i</m:t>
                              </m:r>
                            </m:e>
                            <m:sub>
                              <m:r>
                                <m:t>B</m:t>
                              </m:r>
                            </m:sub>
                          </m:sSub>
                          <m:r>
                            <m:rPr>
                              <m:sty m:val="p"/>
                            </m:rPr>
                            <m:t>−</m:t>
                          </m:r>
                          <m:sSub>
                            <m:e>
                              <m:r>
                                <m:t>i</m:t>
                              </m:r>
                            </m:e>
                            <m:sub>
                              <m:r>
                                <m:t>A</m:t>
                              </m:r>
                            </m:sub>
                          </m:sSub>
                        </m:e>
                      </m:d>
                    </m:e>
                    <m:sup>
                      <m:r>
                        <m:t>2</m:t>
                      </m:r>
                    </m:sup>
                  </m:sSup>
                </m:e>
              </m:rad>
              <m:r>
                <m:rPr>
                  <m:sty m:val="p"/>
                </m:rPr>
                <m:t>.</m:t>
              </m:r>
            </m:e>
          </m:borderBox>
        </m:oMath>
      </m:oMathPara>
    </w:p>
    <w:p>
      <w:pPr>
        <w:pStyle w:val="FirstParagraph"/>
      </w:pPr>
      <w:r>
        <w:rPr>
          <w:b/>
          <w:bCs/>
        </w:rPr>
        <w:t xml:space="preserve">RETENU comme définition géométrique interne</w:t>
      </w:r>
      <w:r>
        <w:t xml:space="preserve">.</w:t>
      </w:r>
    </w:p>
    <w:p>
      <w:pPr>
        <w:pStyle w:val="BodyText"/>
      </w:pPr>
      <w:r>
        <w:t xml:space="preserve">Cette distance est exprimée en</w:t>
      </w:r>
      <w:r>
        <w:t xml:space="preserve"> </w:t>
      </w:r>
      <w:r>
        <w:rPr>
          <w:b/>
          <w:bCs/>
        </w:rPr>
        <w:t xml:space="preserve">unités géométriques Makolo</w:t>
      </w:r>
      <w:r>
        <w:t xml:space="preserve">.</w:t>
      </w:r>
    </w:p>
    <w:p>
      <w:pPr>
        <w:pStyle w:val="BodyText"/>
        <w:keepNext/>
      </w:pPr>
      <w:r>
        <w:t xml:space="preserve">Elle ne représente pas, par elle-même :</w:t>
      </w:r>
    </w:p>
    <w:p>
      <w:pPr>
        <w:pStyle w:val="Compact"/>
        <w:numPr>
          <w:ilvl w:val="0"/>
          <w:numId w:val="1006"/>
        </w:numPr>
      </w:pPr>
      <w:r>
        <w:t xml:space="preserve">des kilomètres ;</w:t>
      </w:r>
    </w:p>
    <w:p>
      <w:pPr>
        <w:pStyle w:val="Compact"/>
        <w:numPr>
          <w:ilvl w:val="0"/>
          <w:numId w:val="1006"/>
        </w:numPr>
      </w:pPr>
      <w:r>
        <w:t xml:space="preserve">des secondes ;</w:t>
      </w:r>
    </w:p>
    <w:p>
      <w:pPr>
        <w:pStyle w:val="Compact"/>
        <w:numPr>
          <w:ilvl w:val="0"/>
          <w:numId w:val="1006"/>
        </w:numPr>
      </w:pPr>
      <w:r>
        <w:t xml:space="preserve">une difficulté ;</w:t>
      </w:r>
    </w:p>
    <w:p>
      <w:pPr>
        <w:pStyle w:val="Compact"/>
        <w:numPr>
          <w:ilvl w:val="0"/>
          <w:numId w:val="1006"/>
        </w:numPr>
      </w:pPr>
      <w:r>
        <w:t xml:space="preserve">un nombre d’actions ;</w:t>
      </w:r>
    </w:p>
    <w:p>
      <w:pPr>
        <w:pStyle w:val="Compact"/>
        <w:numPr>
          <w:ilvl w:val="0"/>
          <w:numId w:val="1006"/>
        </w:numPr>
      </w:pPr>
      <w:r>
        <w:t xml:space="preserve">un coût ;</w:t>
      </w:r>
    </w:p>
    <w:p>
      <w:pPr>
        <w:pStyle w:val="Compact"/>
        <w:numPr>
          <w:ilvl w:val="0"/>
          <w:numId w:val="1006"/>
        </w:numPr>
      </w:pPr>
      <w:r>
        <w:t xml:space="preserve">une utilité ;</w:t>
      </w:r>
    </w:p>
    <w:p>
      <w:pPr>
        <w:pStyle w:val="Compact"/>
        <w:numPr>
          <w:ilvl w:val="0"/>
          <w:numId w:val="1006"/>
        </w:numPr>
      </w:pPr>
      <w:r>
        <w:t xml:space="preserve">une probabilité ;</w:t>
      </w:r>
    </w:p>
    <w:p>
      <w:pPr>
        <w:pStyle w:val="Compact"/>
        <w:numPr>
          <w:ilvl w:val="0"/>
          <w:numId w:val="1006"/>
        </w:numPr>
      </w:pPr>
      <w:r>
        <w:t xml:space="preserve">une accessibilité humaine.</w:t>
      </w:r>
    </w:p>
    <w:p>
      <w:pPr>
        <w:pStyle w:val="FirstParagraph"/>
      </w:pPr>
      <w:r>
        <w:t xml:space="preserve">Ces interprétations sont</w:t>
      </w:r>
      <w:r>
        <w:t xml:space="preserve"> </w:t>
      </w:r>
      <w:r>
        <w:rPr>
          <w:b/>
          <w:bCs/>
        </w:rPr>
        <w:t xml:space="preserve">SANS ÉQUIVALENT</w:t>
      </w:r>
      <w:r>
        <w:t xml:space="preserve"> </w:t>
      </w:r>
      <w:r>
        <w:t xml:space="preserve">dans la géométrie seule.</w:t>
      </w:r>
    </w:p>
    <w:bookmarkEnd w:id="38"/>
    <w:bookmarkStart w:id="39" w:name="orthogonalité-et-égalité-déchelle"/>
    <w:p>
      <w:pPr>
        <w:pStyle w:val="Heading2"/>
      </w:pPr>
      <w:r>
        <w:t xml:space="preserve">4.3. Orthogonalité et égalité d’échelle</w:t>
      </w:r>
    </w:p>
    <w:p>
      <w:pPr>
        <w:pStyle w:val="FirstParagraph"/>
        <w:keepNext/>
      </w:pPr>
      <w:r>
        <w:t xml:space="preserve">Les vecteurs de base :</w:t>
      </w:r>
    </w:p>
    <w:p>
      <w:pPr>
        <w:pStyle w:val="BodyText"/>
      </w:pPr>
      <m:oMathPara>
        <m:oMathParaPr>
          <m:jc m:val="center"/>
        </m:oMathParaPr>
        <m:oMath>
          <m:sSub>
            <m:e>
              <m:r>
                <m:t>e</m:t>
              </m:r>
            </m:e>
            <m:sub>
              <m:r>
                <m:t>G</m:t>
              </m:r>
            </m:sub>
          </m:sSub>
          <m:r>
            <m:rPr>
              <m:sty m:val="p"/>
            </m:rPr>
            <m:t>=</m:t>
          </m:r>
          <m:d>
            <m:dPr>
              <m:begChr m:val="("/>
              <m:endChr m:val=")"/>
              <m:sepChr m:val=""/>
              <m:grow/>
            </m:dPr>
            <m:e>
              <m:r>
                <m:t>1</m:t>
              </m:r>
              <m:r>
                <m:rPr>
                  <m:sty m:val="p"/>
                </m:rPr>
                <m:t>,</m:t>
              </m:r>
              <m:r>
                <m:t>0</m:t>
              </m:r>
            </m:e>
          </m:d>
          <m:r>
            <m:rPr>
              <m:sty m:val="p"/>
            </m:rPr>
            <m:t>,</m:t>
          </m:r>
          <m:r>
            <m:t>  </m:t>
          </m:r>
          <m:sSub>
            <m:e>
              <m:r>
                <m:t>e</m:t>
              </m:r>
            </m:e>
            <m:sub>
              <m:r>
                <m:t>I</m:t>
              </m:r>
            </m:sub>
          </m:sSub>
          <m:r>
            <m:rPr>
              <m:sty m:val="p"/>
            </m:rPr>
            <m:t>=</m:t>
          </m:r>
          <m:d>
            <m:dPr>
              <m:begChr m:val="("/>
              <m:endChr m:val=")"/>
              <m:sepChr m:val=""/>
              <m:grow/>
            </m:dPr>
            <m:e>
              <m:r>
                <m:t>0</m:t>
              </m:r>
              <m:r>
                <m:rPr>
                  <m:sty m:val="p"/>
                </m:rPr>
                <m:t>,</m:t>
              </m:r>
              <m:r>
                <m:t>1</m:t>
              </m:r>
            </m:e>
          </m:d>
        </m:oMath>
      </m:oMathPara>
    </w:p>
    <w:p>
      <w:pPr>
        <w:pStyle w:val="FirstParagraph"/>
        <w:keepNext/>
      </w:pPr>
      <w:r>
        <w:t xml:space="preserve">satisfont :</w:t>
      </w:r>
    </w:p>
    <w:p>
      <w:pPr>
        <w:pStyle w:val="BodyText"/>
      </w:pPr>
      <m:oMathPara>
        <m:oMathParaPr>
          <m:jc m:val="center"/>
        </m:oMathParaPr>
        <m:oMath>
          <m:r>
            <m:rPr>
              <m:sty m:val="p"/>
            </m:rPr>
            <m:t>⟨</m:t>
          </m:r>
          <m:sSub>
            <m:e>
              <m:r>
                <m:t>e</m:t>
              </m:r>
            </m:e>
            <m:sub>
              <m:r>
                <m:t>G</m:t>
              </m:r>
            </m:sub>
          </m:sSub>
          <m:r>
            <m:rPr>
              <m:sty m:val="p"/>
            </m:rPr>
            <m:t>,</m:t>
          </m:r>
          <m:sSub>
            <m:e>
              <m:r>
                <m:t>e</m:t>
              </m:r>
            </m:e>
            <m:sub>
              <m:r>
                <m:t>I</m:t>
              </m:r>
            </m:sub>
          </m:sSub>
          <m:sSub>
            <m:e>
              <m:r>
                <m:rPr>
                  <m:sty m:val="p"/>
                </m:rPr>
                <m:t>⟩</m:t>
              </m:r>
            </m:e>
            <m:sub>
              <m:r>
                <m:t>M</m:t>
              </m:r>
            </m:sub>
          </m:sSub>
          <m:r>
            <m:rPr>
              <m:sty m:val="p"/>
            </m:rPr>
            <m:t>=</m:t>
          </m:r>
          <m:r>
            <m:t>0</m:t>
          </m:r>
          <m:r>
            <m:rPr>
              <m:sty m:val="p"/>
            </m:rPr>
            <m:t>,</m:t>
          </m:r>
        </m:oMath>
      </m:oMathPara>
    </w:p>
    <w:p>
      <w:pPr>
        <w:pStyle w:val="FirstParagraph"/>
      </w:pPr>
      <m:oMathPara>
        <m:oMathParaPr>
          <m:jc m:val="center"/>
        </m:oMathParaPr>
        <m:oMath>
          <m:r>
            <m:rPr>
              <m:sty m:val="p"/>
            </m:rPr>
            <m:t>∥</m:t>
          </m:r>
          <m:sSub>
            <m:e>
              <m:r>
                <m:t>e</m:t>
              </m:r>
            </m:e>
            <m:sub>
              <m:r>
                <m:t>G</m:t>
              </m:r>
            </m:sub>
          </m:sSub>
          <m:sSub>
            <m:e>
              <m:r>
                <m:rPr>
                  <m:sty m:val="p"/>
                </m:rPr>
                <m:t>∥</m:t>
              </m:r>
            </m:e>
            <m:sub>
              <m:r>
                <m:t>M</m:t>
              </m:r>
            </m:sub>
          </m:sSub>
          <m:r>
            <m:rPr>
              <m:sty m:val="p"/>
            </m:rPr>
            <m:t>=</m:t>
          </m:r>
          <m:r>
            <m:rPr>
              <m:sty m:val="p"/>
            </m:rPr>
            <m:t>∥</m:t>
          </m:r>
          <m:sSub>
            <m:e>
              <m:r>
                <m:t>e</m:t>
              </m:r>
            </m:e>
            <m:sub>
              <m:r>
                <m:t>I</m:t>
              </m:r>
            </m:sub>
          </m:sSub>
          <m:sSub>
            <m:e>
              <m:r>
                <m:rPr>
                  <m:sty m:val="p"/>
                </m:rPr>
                <m:t>∥</m:t>
              </m:r>
            </m:e>
            <m:sub>
              <m:r>
                <m:t>M</m:t>
              </m:r>
            </m:sub>
          </m:sSub>
          <m:r>
            <m:rPr>
              <m:sty m:val="p"/>
            </m:rPr>
            <m:t>=</m:t>
          </m:r>
          <m:r>
            <m:t>1</m:t>
          </m:r>
          <m:r>
            <m:rPr>
              <m:sty m:val="p"/>
            </m:rPr>
            <m:t>.</m:t>
          </m:r>
        </m:oMath>
      </m:oMathPara>
    </w:p>
    <w:p>
      <w:pPr>
        <w:pStyle w:val="FirstParagraph"/>
        <w:keepNext/>
      </w:pPr>
      <w:r>
        <w:t xml:space="preserve">Par conséquent :</w:t>
      </w:r>
    </w:p>
    <w:p>
      <w:pPr>
        <w:pStyle w:val="BodyText"/>
      </w:pPr>
      <m:oMathPara>
        <m:oMathParaPr>
          <m:jc m:val="center"/>
        </m:oMathParaPr>
        <m:oMath>
          <m:borderBox>
            <m:e>
              <m:r>
                <m:t>G</m:t>
              </m:r>
              <m:r>
                <m:rPr>
                  <m:sty m:val="p"/>
                </m:rPr>
                <m:t>⊥</m:t>
              </m:r>
              <m:r>
                <m:t>I</m:t>
              </m:r>
            </m:e>
          </m:borderBox>
        </m:oMath>
      </m:oMathPara>
    </w:p>
    <w:p>
      <w:pPr>
        <w:pStyle w:val="FirstParagraph"/>
        <w:keepNext/>
      </w:pPr>
      <w:r>
        <w:t xml:space="preserve">et :</w:t>
      </w:r>
    </w:p>
    <w:p>
      <w:pPr>
        <w:pStyle w:val="BodyText"/>
      </w:pPr>
      <m:oMathPara>
        <m:oMathParaPr>
          <m:jc m:val="center"/>
        </m:oMathParaPr>
        <m:oMath>
          <m:borderBox>
            <m:e>
              <m:r>
                <m:t>1</m:t>
              </m:r>
              <m:r>
                <m:t>G</m:t>
              </m:r>
              <m:r>
                <m:rPr>
                  <m:sty m:val="p"/>
                </m:rPr>
                <m:t>=</m:t>
              </m:r>
              <m:r>
                <m:t>1</m:t>
              </m:r>
              <m:r>
                <m:t>I</m:t>
              </m:r>
            </m:e>
          </m:borderBox>
        </m:oMath>
      </m:oMathPara>
    </w:p>
    <w:p>
      <w:pPr>
        <w:pStyle w:val="FirstParagraph"/>
      </w:pPr>
      <w:r>
        <w:t xml:space="preserve">sont</w:t>
      </w:r>
      <w:r>
        <w:t xml:space="preserve"> </w:t>
      </w:r>
      <w:r>
        <w:rPr>
          <w:b/>
          <w:bCs/>
        </w:rPr>
        <w:t xml:space="preserve">RETENU à l’intérieur de la géométrie constitutive du secteur complet</w:t>
      </w:r>
      <w:r>
        <w:t xml:space="preserve">.</w:t>
      </w:r>
    </w:p>
    <w:p>
      <w:pPr>
        <w:pStyle w:val="BodyText"/>
      </w:pPr>
      <w:r>
        <w:t xml:space="preserve">Ils ne signifient pas qu’un degré géographique source et un degré logique source possèdent la même signification externe.</w:t>
      </w:r>
    </w:p>
    <w:bookmarkEnd w:id="39"/>
    <w:bookmarkStart w:id="40" w:name="homogénéité-et-isotropie-internes"/>
    <w:p>
      <w:pPr>
        <w:pStyle w:val="Heading2"/>
      </w:pPr>
      <w:r>
        <w:t xml:space="preserve">4.4. Homogénéité et isotropie internes</w:t>
      </w:r>
    </w:p>
    <w:p>
      <w:pPr>
        <w:pStyle w:val="FirstParagraph"/>
      </w:pPr>
      <w:r>
        <w:t xml:space="preserve">Le plan euclidien choisi est homogène et isotrope du point de vue purement géométrique.</w:t>
      </w:r>
    </w:p>
    <w:p>
      <w:pPr>
        <w:pStyle w:val="BodyText"/>
        <w:keepNext/>
      </w:pPr>
      <w:r>
        <w:t xml:space="preserve">Ainsi, pour toute translation</w:t>
      </w:r>
      <w:r>
        <w:t xml:space="preserve"> </w:t>
      </w:r>
      <m:oMath>
        <m:r>
          <m:t>T</m:t>
        </m:r>
      </m:oMath>
      <w:r>
        <w:t xml:space="preserve"> </w:t>
      </w:r>
      <w:r>
        <w:t xml:space="preserve">:</w:t>
      </w:r>
    </w:p>
    <w:p>
      <w:pPr>
        <w:pStyle w:val="BodyText"/>
      </w:pPr>
      <m:oMathPara>
        <m:oMathParaPr>
          <m:jc m:val="center"/>
        </m:oMathParaPr>
        <m:oMath>
          <m:sSub>
            <m:e>
              <m:r>
                <m:t>d</m:t>
              </m:r>
            </m:e>
            <m:sub>
              <m:r>
                <m:t>M</m:t>
              </m:r>
            </m:sub>
          </m:sSub>
          <m:d>
            <m:dPr>
              <m:begChr m:val="("/>
              <m:endChr m:val=")"/>
              <m:sepChr m:val=""/>
              <m:grow/>
            </m:dPr>
            <m:e>
              <m:r>
                <m:t>A</m:t>
              </m:r>
              <m:r>
                <m:rPr>
                  <m:sty m:val="p"/>
                </m:rPr>
                <m:t>+</m:t>
              </m:r>
              <m:r>
                <m:t>T</m:t>
              </m:r>
              <m:r>
                <m:rPr>
                  <m:sty m:val="p"/>
                </m:rPr>
                <m:t>,</m:t>
              </m:r>
              <m:r>
                <m:t>B</m:t>
              </m:r>
              <m:r>
                <m:rPr>
                  <m:sty m:val="p"/>
                </m:rPr>
                <m:t>+</m:t>
              </m:r>
              <m:r>
                <m:t>T</m:t>
              </m:r>
            </m:e>
          </m:d>
          <m:r>
            <m:rPr>
              <m:sty m:val="p"/>
            </m:rPr>
            <m:t>=</m:t>
          </m:r>
          <m:sSub>
            <m:e>
              <m:r>
                <m:t>d</m:t>
              </m:r>
            </m:e>
            <m:sub>
              <m:r>
                <m:t>M</m:t>
              </m:r>
            </m:sub>
          </m:sSub>
          <m:d>
            <m:dPr>
              <m:begChr m:val="("/>
              <m:endChr m:val=")"/>
              <m:sepChr m:val=""/>
              <m:grow/>
            </m:dPr>
            <m:e>
              <m:r>
                <m:t>A</m:t>
              </m:r>
              <m:r>
                <m:rPr>
                  <m:sty m:val="p"/>
                </m:rPr>
                <m:t>,</m:t>
              </m:r>
              <m:r>
                <m:t>B</m:t>
              </m:r>
            </m:e>
          </m:d>
          <m:r>
            <m:rPr>
              <m:sty m:val="p"/>
            </m:rPr>
            <m:t>,</m:t>
          </m:r>
        </m:oMath>
      </m:oMathPara>
    </w:p>
    <w:p>
      <w:pPr>
        <w:pStyle w:val="FirstParagraph"/>
        <w:keepNext/>
      </w:pPr>
      <w:r>
        <w:t xml:space="preserve">et pour toute transformation orthogonale</w:t>
      </w:r>
      <w:r>
        <w:t xml:space="preserve"> </w:t>
      </w:r>
      <m:oMath>
        <m:r>
          <m:t>R</m:t>
        </m:r>
      </m:oMath>
      <w:r>
        <w:t xml:space="preserve"> </w:t>
      </w:r>
      <w:r>
        <w:t xml:space="preserve">:</w:t>
      </w:r>
    </w:p>
    <w:p>
      <w:pPr>
        <w:pStyle w:val="BodyText"/>
      </w:pPr>
      <m:oMathPara>
        <m:oMathParaPr>
          <m:jc m:val="center"/>
        </m:oMathParaPr>
        <m:oMath>
          <m:r>
            <m:rPr>
              <m:sty m:val="p"/>
            </m:rPr>
            <m:t>∥</m:t>
          </m:r>
          <m:r>
            <m:t>R</m:t>
          </m:r>
          <m:r>
            <m:t>v</m:t>
          </m:r>
          <m:sSub>
            <m:e>
              <m:r>
                <m:rPr>
                  <m:sty m:val="p"/>
                </m:rPr>
                <m:t>∥</m:t>
              </m:r>
            </m:e>
            <m:sub>
              <m:r>
                <m:t>M</m:t>
              </m:r>
            </m:sub>
          </m:sSub>
          <m:r>
            <m:rPr>
              <m:sty m:val="p"/>
            </m:rPr>
            <m:t>=</m:t>
          </m:r>
          <m:r>
            <m:rPr>
              <m:sty m:val="p"/>
            </m:rPr>
            <m:t>∥</m:t>
          </m:r>
          <m:r>
            <m:t>v</m:t>
          </m:r>
          <m:sSub>
            <m:e>
              <m:r>
                <m:rPr>
                  <m:sty m:val="p"/>
                </m:rPr>
                <m:t>∥</m:t>
              </m:r>
            </m:e>
            <m:sub>
              <m:r>
                <m:t>M</m:t>
              </m:r>
            </m:sub>
          </m:sSub>
          <m:r>
            <m:rPr>
              <m:sty m:val="p"/>
            </m:rPr>
            <m:t>.</m:t>
          </m:r>
        </m:oMath>
      </m:oMathPara>
    </w:p>
    <w:p>
      <w:pPr>
        <w:pStyle w:val="FirstParagraph"/>
      </w:pPr>
      <w:r>
        <w:rPr>
          <w:b/>
          <w:bCs/>
        </w:rPr>
        <w:t xml:space="preserve">RETENU comme propriétés mathématiques de la géométrie choisie</w:t>
      </w:r>
      <w:r>
        <w:t xml:space="preserve">.</w:t>
      </w:r>
    </w:p>
    <w:p>
      <w:pPr>
        <w:pStyle w:val="BodyText"/>
      </w:pPr>
      <w:r>
        <w:t xml:space="preserve">Ces invariances sont des invariances de la géométrie interne. Elles ne sont pas encore des symétries des lois dynamiques, puisque les lois dynamiques concrètes restent ouvertes.</w:t>
      </w:r>
    </w:p>
    <w:bookmarkEnd w:id="40"/>
    <w:bookmarkStart w:id="41" w:name="strates-partielles"/>
    <w:p>
      <w:pPr>
        <w:pStyle w:val="Heading2"/>
      </w:pPr>
      <w:r>
        <w:t xml:space="preserve">4.5. Strates partielles</w:t>
      </w:r>
    </w:p>
    <w:p>
      <w:pPr>
        <w:pStyle w:val="FirstParagraph"/>
        <w:keepNext/>
      </w:pPr>
      <w:r>
        <w:t xml:space="preserve">La strate</w:t>
      </w:r>
      <w:r>
        <w:t xml:space="preserve"> </w:t>
      </w:r>
      <m:oMath>
        <m:sSub>
          <m:e>
            <m:r>
              <m:rPr>
                <m:sty m:val="p"/>
                <m:scr m:val="script"/>
              </m:rPr>
              <m:t>P</m:t>
            </m:r>
          </m:e>
          <m:sub>
            <m:r>
              <m:t>G</m:t>
            </m:r>
          </m:sub>
        </m:sSub>
      </m:oMath>
      <w:r>
        <w:t xml:space="preserve"> </w:t>
      </w:r>
      <w:r>
        <w:t xml:space="preserve">hérite naturellement d’une géométrie euclidienne unidimensionnelle :</w:t>
      </w:r>
    </w:p>
    <w:p>
      <w:pPr>
        <w:pStyle w:val="BodyText"/>
      </w:pPr>
      <m:oMathPara>
        <m:oMathParaPr>
          <m:jc m:val="center"/>
        </m:oMathParaPr>
        <m:oMath>
          <m:sSubSup>
            <m:e>
              <m:r>
                <m:t>d</m:t>
              </m:r>
            </m:e>
            <m:sub>
              <m:r>
                <m:t>G</m:t>
              </m:r>
            </m:sub>
            <m:sup>
              <m:r>
                <m:t>M</m:t>
              </m:r>
            </m:sup>
          </m:sSubSup>
          <m:d>
            <m:dPr>
              <m:begChr m:val="("/>
              <m:endChr m:val=")"/>
              <m:sepChr m:val=""/>
              <m:grow/>
            </m:dPr>
            <m:e>
              <m:sSub>
                <m:e>
                  <m:r>
                    <m:t>g</m:t>
                  </m:r>
                </m:e>
                <m:sub>
                  <m:r>
                    <m:t>1</m:t>
                  </m:r>
                </m:sub>
              </m:sSub>
              <m:r>
                <m:rPr>
                  <m:sty m:val="p"/>
                </m:rPr>
                <m:t>,</m:t>
              </m:r>
              <m:sSub>
                <m:e>
                  <m:r>
                    <m:t>g</m:t>
                  </m:r>
                </m:e>
                <m:sub>
                  <m:r>
                    <m:t>2</m:t>
                  </m:r>
                </m:sub>
              </m:sSub>
            </m:e>
          </m:d>
          <m:r>
            <m:rPr>
              <m:sty m:val="p"/>
            </m:rPr>
            <m:t>=</m:t>
          </m:r>
          <m:d>
            <m:dPr>
              <m:begChr m:val="|"/>
              <m:endChr m:val="|"/>
              <m:sepChr m:val=""/>
              <m:grow/>
            </m:dPr>
            <m:e>
              <m:sSub>
                <m:e>
                  <m:r>
                    <m:t>g</m:t>
                  </m:r>
                </m:e>
                <m:sub>
                  <m:r>
                    <m:t>2</m:t>
                  </m:r>
                </m:sub>
              </m:sSub>
              <m:r>
                <m:rPr>
                  <m:sty m:val="p"/>
                </m:rPr>
                <m:t>−</m:t>
              </m:r>
              <m:sSub>
                <m:e>
                  <m:r>
                    <m:t>g</m:t>
                  </m:r>
                </m:e>
                <m:sub>
                  <m:r>
                    <m:t>1</m:t>
                  </m:r>
                </m:sub>
              </m:sSub>
            </m:e>
          </m:d>
          <m:r>
            <m:rPr>
              <m:sty m:val="p"/>
            </m:rPr>
            <m:t>.</m:t>
          </m:r>
        </m:oMath>
      </m:oMathPara>
    </w:p>
    <w:p>
      <w:pPr>
        <w:pStyle w:val="FirstParagraph"/>
        <w:keepNext/>
      </w:pPr>
      <w:r>
        <w:t xml:space="preserve">De même :</w:t>
      </w:r>
    </w:p>
    <w:p>
      <w:pPr>
        <w:pStyle w:val="BodyText"/>
      </w:pPr>
      <m:oMathPara>
        <m:oMathParaPr>
          <m:jc m:val="center"/>
        </m:oMathParaPr>
        <m:oMath>
          <m:sSubSup>
            <m:e>
              <m:r>
                <m:t>d</m:t>
              </m:r>
            </m:e>
            <m:sub>
              <m:r>
                <m:t>I</m:t>
              </m:r>
            </m:sub>
            <m:sup>
              <m:r>
                <m:t>M</m:t>
              </m:r>
            </m:sup>
          </m:sSubSup>
          <m:d>
            <m:dPr>
              <m:begChr m:val="("/>
              <m:endChr m:val=")"/>
              <m:sepChr m:val=""/>
              <m:grow/>
            </m:dPr>
            <m:e>
              <m:sSub>
                <m:e>
                  <m:r>
                    <m:t>i</m:t>
                  </m:r>
                </m:e>
                <m:sub>
                  <m:r>
                    <m:t>1</m:t>
                  </m:r>
                </m:sub>
              </m:sSub>
              <m:r>
                <m:rPr>
                  <m:sty m:val="p"/>
                </m:rPr>
                <m:t>,</m:t>
              </m:r>
              <m:sSub>
                <m:e>
                  <m:r>
                    <m:t>i</m:t>
                  </m:r>
                </m:e>
                <m:sub>
                  <m:r>
                    <m:t>2</m:t>
                  </m:r>
                </m:sub>
              </m:sSub>
            </m:e>
          </m:d>
          <m:r>
            <m:rPr>
              <m:sty m:val="p"/>
            </m:rPr>
            <m:t>=</m:t>
          </m:r>
          <m:d>
            <m:dPr>
              <m:begChr m:val="|"/>
              <m:endChr m:val="|"/>
              <m:sepChr m:val=""/>
              <m:grow/>
            </m:dPr>
            <m:e>
              <m:sSub>
                <m:e>
                  <m:r>
                    <m:t>i</m:t>
                  </m:r>
                </m:e>
                <m:sub>
                  <m:r>
                    <m:t>2</m:t>
                  </m:r>
                </m:sub>
              </m:sSub>
              <m:r>
                <m:rPr>
                  <m:sty m:val="p"/>
                </m:rPr>
                <m:t>−</m:t>
              </m:r>
              <m:sSub>
                <m:e>
                  <m:r>
                    <m:t>i</m:t>
                  </m:r>
                </m:e>
                <m:sub>
                  <m:r>
                    <m:t>1</m:t>
                  </m:r>
                </m:sub>
              </m:sSub>
            </m:e>
          </m:d>
          <m:r>
            <m:rPr>
              <m:sty m:val="p"/>
            </m:rPr>
            <m:t>.</m:t>
          </m:r>
        </m:oMath>
      </m:oMathPara>
    </w:p>
    <w:p>
      <w:pPr>
        <w:pStyle w:val="FirstParagraph"/>
      </w:pPr>
      <w:r>
        <w:t xml:space="preserve">Ces distances sont</w:t>
      </w:r>
      <w:r>
        <w:t xml:space="preserve"> </w:t>
      </w:r>
      <w:r>
        <w:rPr>
          <w:b/>
          <w:bCs/>
        </w:rPr>
        <w:t xml:space="preserve">internes à Makolo</w:t>
      </w:r>
      <w:r>
        <w:t xml:space="preserve">.</w:t>
      </w:r>
    </w:p>
    <w:p>
      <w:pPr>
        <w:pStyle w:val="BodyText"/>
      </w:pPr>
      <w:r>
        <w:t xml:space="preserve">Elles ne doivent pas être confondues avec une distance terrestre pour</w:t>
      </w:r>
      <w:r>
        <w:t xml:space="preserve"> </w:t>
      </w:r>
      <m:oMath>
        <m:r>
          <m:t>G</m:t>
        </m:r>
      </m:oMath>
      <w:r>
        <w:t xml:space="preserve"> </w:t>
      </w:r>
      <w:r>
        <w:t xml:space="preserve">ni avec une difficulté ou une distance sémantique pour</w:t>
      </w:r>
      <w:r>
        <w:t xml:space="preserve"> </w:t>
      </w:r>
      <m:oMath>
        <m:r>
          <m:t>I</m:t>
        </m:r>
      </m:oMath>
      <w:r>
        <w:t xml:space="preserve">.</w:t>
      </w:r>
    </w:p>
    <w:p>
      <w:pPr>
        <w:pStyle w:val="BodyText"/>
      </w:pPr>
      <w:r>
        <w:t xml:space="preserve">Aucune distance canonique n’est définie entre, par exemple,</w:t>
      </w:r>
      <w:r>
        <w:t xml:space="preserve"> </w:t>
      </w:r>
      <m:oMath>
        <m:d>
          <m:dPr>
            <m:begChr m:val="("/>
            <m:endChr m:val=")"/>
            <m:sepChr m:val=""/>
            <m:grow/>
          </m:dPr>
          <m:e>
            <m:r>
              <m:t>g</m:t>
            </m:r>
            <m:r>
              <m:rPr>
                <m:sty m:val="p"/>
              </m:rPr>
              <m:t>,</m:t>
            </m:r>
            <m:sSub>
              <m:e>
                <m:r>
                  <m:rPr>
                    <m:sty m:val="p"/>
                  </m:rPr>
                  <m:t>⊥</m:t>
                </m:r>
              </m:e>
              <m:sub>
                <m:r>
                  <m:t>I</m:t>
                </m:r>
              </m:sub>
            </m:sSub>
          </m:e>
        </m:d>
      </m:oMath>
      <w:r>
        <w:t xml:space="preserve"> </w:t>
      </w:r>
      <w:r>
        <w:t xml:space="preserve">et</w:t>
      </w:r>
      <w:r>
        <w:t xml:space="preserve"> </w:t>
      </w:r>
      <m:oMath>
        <m:d>
          <m:dPr>
            <m:begChr m:val="("/>
            <m:endChr m:val=")"/>
            <m:sepChr m:val=""/>
            <m:grow/>
          </m:dPr>
          <m:e>
            <m:r>
              <m:t>g</m:t>
            </m:r>
            <m:r>
              <m:rPr>
                <m:sty m:val="p"/>
              </m:rPr>
              <m:t>′</m:t>
            </m:r>
            <m:r>
              <m:rPr>
                <m:sty m:val="p"/>
              </m:rPr>
              <m:t>,</m:t>
            </m:r>
            <m:r>
              <m:t>i</m:t>
            </m:r>
            <m:r>
              <m:rPr>
                <m:sty m:val="p"/>
              </m:rPr>
              <m:t>′</m:t>
            </m:r>
          </m:e>
        </m:d>
      </m:oMath>
      <w:r>
        <w:t xml:space="preserve"> </w:t>
      </w:r>
      <w:r>
        <w:t xml:space="preserve">tant qu’une règle de complétion ou de comparaison inter-strates n’est pas explicitement définie.</w:t>
      </w:r>
    </w:p>
    <w:bookmarkEnd w:id="41"/>
    <w:bookmarkEnd w:id="42"/>
    <w:bookmarkStart w:id="47" w:name="projections-candidates-vers-les-axes"/>
    <w:p>
      <w:pPr>
        <w:pStyle w:val="Heading1"/>
      </w:pPr>
      <w:r>
        <w:t xml:space="preserve">5. Projections candidates vers les axes</w:t>
      </w:r>
    </w:p>
    <w:bookmarkStart w:id="43" w:name="projection-géographique-candidate"/>
    <w:p>
      <w:pPr>
        <w:pStyle w:val="Heading2"/>
      </w:pPr>
      <w:r>
        <w:t xml:space="preserve">5.1. Projection géographique candidate</w:t>
      </w:r>
    </w:p>
    <w:p>
      <w:pPr>
        <w:pStyle w:val="FirstParagraph"/>
        <w:keepNext/>
      </w:pPr>
      <w:r>
        <w:t xml:space="preserve">Soient :</w:t>
      </w:r>
    </w:p>
    <w:p>
      <w:pPr>
        <w:pStyle w:val="BodyText"/>
      </w:pPr>
      <m:oMathPara>
        <m:oMathParaPr>
          <m:jc m:val="center"/>
        </m:oMathParaPr>
        <m:oMath>
          <m:r>
            <m:t>λ</m:t>
          </m:r>
          <m:r>
            <m:rPr>
              <m:sty m:val="p"/>
            </m:rPr>
            <m:t>=</m:t>
          </m:r>
          <m:r>
            <m:rPr>
              <m:nor/>
              <m:sty m:val="p"/>
            </m:rPr>
            <m:t>longitude</m:t>
          </m:r>
          <m:r>
            <m:rPr>
              <m:sty m:val="p"/>
            </m:rPr>
            <m:t>,</m:t>
          </m:r>
          <m:r>
            <m:t>  </m:t>
          </m:r>
          <m:r>
            <m:t>φ</m:t>
          </m:r>
          <m:r>
            <m:rPr>
              <m:sty m:val="p"/>
            </m:rPr>
            <m:t>=</m:t>
          </m:r>
          <m:r>
            <m:rPr>
              <m:nor/>
              <m:sty m:val="p"/>
            </m:rPr>
            <m:t>latitude</m:t>
          </m:r>
          <m:r>
            <m:rPr>
              <m:sty m:val="p"/>
            </m:rPr>
            <m:t>.</m:t>
          </m:r>
        </m:oMath>
      </m:oMathPara>
    </w:p>
    <w:p>
      <w:pPr>
        <w:pStyle w:val="FirstParagraph"/>
      </w:pPr>
      <w:r>
        <w:t xml:space="preserve">Sur le domaine opérationnel de coordonnées stockées à précision décimale finie, on peut les modéliser comme rationnelles.</w:t>
      </w:r>
    </w:p>
    <w:p>
      <w:pPr>
        <w:pStyle w:val="BodyText"/>
        <w:keepNext/>
      </w:pPr>
      <w:r>
        <w:t xml:space="preserve">La projection candidate est :</w:t>
      </w:r>
    </w:p>
    <w:p>
      <w:pPr>
        <w:pStyle w:val="BodyText"/>
      </w:pPr>
      <m:oMathPara>
        <m:oMathParaPr>
          <m:jc m:val="center"/>
        </m:oMathParaPr>
        <m:oMath>
          <m:borderBox>
            <m:e>
              <m:sSub>
                <m:e>
                  <m:r>
                    <m:t>E</m:t>
                  </m:r>
                </m:e>
                <m:sub>
                  <m:r>
                    <m:t>G</m:t>
                  </m:r>
                </m:sub>
              </m:sSub>
              <m:d>
                <m:dPr>
                  <m:begChr m:val="("/>
                  <m:endChr m:val=")"/>
                  <m:sepChr m:val=""/>
                  <m:grow/>
                </m:dPr>
                <m:e>
                  <m:r>
                    <m:t>λ</m:t>
                  </m:r>
                  <m:r>
                    <m:rPr>
                      <m:sty m:val="p"/>
                    </m:rPr>
                    <m:t>,</m:t>
                  </m:r>
                  <m:r>
                    <m:t>φ</m:t>
                  </m:r>
                </m:e>
              </m:d>
              <m:r>
                <m:rPr>
                  <m:sty m:val="p"/>
                </m:rPr>
                <m:t>=</m:t>
              </m:r>
              <m:f>
                <m:fPr>
                  <m:type m:val="bar"/>
                </m:fPr>
                <m:num>
                  <m:r>
                    <m:t>λ</m:t>
                  </m:r>
                </m:num>
                <m:den>
                  <m:rad>
                    <m:radPr>
                      <m:degHide m:val="on"/>
                    </m:radPr>
                    <m:deg/>
                    <m:e>
                      <m:r>
                        <m:t>2</m:t>
                      </m:r>
                    </m:e>
                  </m:rad>
                </m:den>
              </m:f>
              <m:r>
                <m:rPr>
                  <m:sty m:val="p"/>
                </m:rPr>
                <m:t>+</m:t>
              </m:r>
              <m:d>
                <m:dPr>
                  <m:begChr m:val="("/>
                  <m:endChr m:val=")"/>
                  <m:sepChr m:val=""/>
                  <m:grow/>
                </m:dPr>
                <m:e>
                  <m:r>
                    <m:t>2</m:t>
                  </m:r>
                  <m:r>
                    <m:rPr>
                      <m:sty m:val="p"/>
                    </m:rPr>
                    <m:t>−</m:t>
                  </m:r>
                  <m:rad>
                    <m:radPr>
                      <m:degHide m:val="on"/>
                    </m:radPr>
                    <m:deg/>
                    <m:e>
                      <m:r>
                        <m:t>2</m:t>
                      </m:r>
                    </m:e>
                  </m:rad>
                </m:e>
              </m:d>
              <m:r>
                <m:t>φ</m:t>
              </m:r>
              <m:r>
                <m:rPr>
                  <m:sty m:val="p"/>
                </m:rPr>
                <m:t>.</m:t>
              </m:r>
            </m:e>
          </m:borderBox>
        </m:oMath>
      </m:oMathPara>
    </w:p>
    <w:p>
      <w:pPr>
        <w:pStyle w:val="MakoloCallout"/>
      </w:pPr>
      <w:r>
        <w:rPr>
          <w:rFonts w:ascii="Aptos" w:hAnsi="Aptos" w:eastAsia="Aptos"/>
          <w:b/>
          <w:bCs/>
          <w:color w:val="5232DB"/>
          <w:sz w:val="19"/>
        </w:rPr>
        <w:t xml:space="preserve">CANDIDAT</w:t>
      </w:r>
      <w:r>
        <w:rPr>
          <w:rFonts w:ascii="Aptos" w:hAnsi="Aptos" w:eastAsia="Aptos"/>
          <w:b/>
          <w:color w:val="5232DB"/>
          <w:sz w:val="19"/>
        </w:rPr>
        <w:t xml:space="preserve">.</w:t>
      </w:r>
    </w:p>
    <w:p>
      <w:pPr>
        <w:pStyle w:val="BodyText"/>
        <w:keepNext/>
      </w:pPr>
      <w:r>
        <w:t xml:space="preserve">Pour :</w:t>
      </w:r>
    </w:p>
    <w:p>
      <w:pPr>
        <w:pStyle w:val="BodyText"/>
      </w:pPr>
      <m:oMathPara>
        <m:oMathParaPr>
          <m:jc m:val="center"/>
        </m:oMathParaPr>
        <m:oMath>
          <m:r>
            <m:t>λ</m:t>
          </m:r>
          <m:r>
            <m:rPr>
              <m:sty m:val="p"/>
            </m:rPr>
            <m:t>∈</m:t>
          </m:r>
          <m:d>
            <m:dPr>
              <m:begChr m:val="["/>
              <m:endChr m:val="]"/>
              <m:sepChr m:val=""/>
              <m:grow/>
            </m:dPr>
            <m:e>
              <m:r>
                <m:rPr>
                  <m:sty m:val="p"/>
                </m:rPr>
                <m:t>−</m:t>
              </m:r>
              <m:r>
                <m:t>180</m:t>
              </m:r>
              <m:r>
                <m:rPr>
                  <m:sty m:val="p"/>
                </m:rPr>
                <m:t>,</m:t>
              </m:r>
              <m:r>
                <m:t>180</m:t>
              </m:r>
            </m:e>
          </m:d>
          <m:r>
            <m:rPr>
              <m:sty m:val="p"/>
            </m:rPr>
            <m:t>,</m:t>
          </m:r>
          <m:r>
            <m:t>  </m:t>
          </m:r>
          <m:r>
            <m:t>φ</m:t>
          </m:r>
          <m:r>
            <m:rPr>
              <m:sty m:val="p"/>
            </m:rPr>
            <m:t>∈</m:t>
          </m:r>
          <m:d>
            <m:dPr>
              <m:begChr m:val="["/>
              <m:endChr m:val="]"/>
              <m:sepChr m:val=""/>
              <m:grow/>
            </m:dPr>
            <m:e>
              <m:r>
                <m:rPr>
                  <m:sty m:val="p"/>
                </m:rPr>
                <m:t>−</m:t>
              </m:r>
              <m:r>
                <m:t>90</m:t>
              </m:r>
              <m:r>
                <m:rPr>
                  <m:sty m:val="p"/>
                </m:rPr>
                <m:t>,</m:t>
              </m:r>
              <m:r>
                <m:t>90</m:t>
              </m:r>
            </m:e>
          </m:d>
          <m:r>
            <m:rPr>
              <m:sty m:val="p"/>
            </m:rPr>
            <m:t>,</m:t>
          </m:r>
        </m:oMath>
      </m:oMathPara>
    </w:p>
    <w:p>
      <w:pPr>
        <w:pStyle w:val="FirstParagraph"/>
        <w:keepNext/>
      </w:pPr>
      <w:r>
        <w:t xml:space="preserve">elle vérifie :</w:t>
      </w:r>
    </w:p>
    <w:p>
      <w:pPr>
        <w:pStyle w:val="BodyText"/>
      </w:pPr>
      <m:oMathPara>
        <m:oMathParaPr>
          <m:jc m:val="center"/>
        </m:oMathParaPr>
        <m:oMath>
          <m:borderBox>
            <m:e>
              <m:r>
                <m:rPr>
                  <m:sty m:val="p"/>
                </m:rPr>
                <m:t>−</m:t>
              </m:r>
              <m:r>
                <m:t>180</m:t>
              </m:r>
              <m:r>
                <m:rPr>
                  <m:sty m:val="p"/>
                </m:rPr>
                <m:t>≤</m:t>
              </m:r>
              <m:r>
                <m:t>g</m:t>
              </m:r>
              <m:r>
                <m:rPr>
                  <m:sty m:val="p"/>
                </m:rPr>
                <m:t>≤</m:t>
              </m:r>
              <m:r>
                <m:t>180</m:t>
              </m:r>
            </m:e>
          </m:borderBox>
          <m:r>
            <m:rPr>
              <m:sty m:val="p"/>
            </m:rPr>
            <m:t>.</m:t>
          </m:r>
        </m:oMath>
      </m:oMathPara>
    </w:p>
    <w:p>
      <w:pPr>
        <w:pStyle w:val="FirstParagraph"/>
      </w:pPr>
      <w:r>
        <w:rPr>
          <w:b/>
          <w:bCs/>
        </w:rPr>
        <w:t xml:space="preserve">RETENU comme théorème conditionnel à cette projection</w:t>
      </w:r>
      <w:r>
        <w:t xml:space="preserve">.</w:t>
      </w:r>
    </w:p>
    <w:p>
      <w:pPr>
        <w:pStyle w:val="BodyText"/>
      </w:pPr>
      <w:r>
        <w:t xml:space="preserve">Sur le domaine rationnel déclaré, elle est injective : l’irrationalité de</w:t>
      </w:r>
      <w:r>
        <w:t xml:space="preserve"> </w:t>
      </w:r>
      <m:oMath>
        <m:rad>
          <m:radPr>
            <m:degHide m:val="on"/>
          </m:radPr>
          <m:deg/>
          <m:e>
            <m:r>
              <m:t>2</m:t>
            </m:r>
          </m:e>
        </m:rad>
      </m:oMath>
      <w:r>
        <w:t xml:space="preserve"> </w:t>
      </w:r>
      <w:r>
        <w:t xml:space="preserve">empêche deux couples rationnels distincts d’avoir la même image.</w:t>
      </w:r>
    </w:p>
    <w:p>
      <w:pPr>
        <w:pStyle w:val="BodyText"/>
      </w:pPr>
      <w:r>
        <w:rPr>
          <w:b/>
          <w:bCs/>
        </w:rPr>
        <w:t xml:space="preserve">RETENU comme théorème conditionnel au domaine rationnel</w:t>
      </w:r>
      <w:r>
        <w:t xml:space="preserve">.</w:t>
      </w:r>
    </w:p>
    <w:p>
      <w:pPr>
        <w:pStyle w:val="BodyText"/>
        <w:keepNext/>
      </w:pPr>
      <w:r>
        <w:t xml:space="preserve">Sur le continuum réel complet :</w:t>
      </w:r>
    </w:p>
    <w:p>
      <w:pPr>
        <w:pStyle w:val="BodyText"/>
      </w:pPr>
      <m:oMathPara>
        <m:oMathParaPr>
          <m:jc m:val="center"/>
        </m:oMathParaPr>
        <m:oMath>
          <m:sSub>
            <m:e>
              <m:r>
                <m:t>E</m:t>
              </m:r>
            </m:e>
            <m:sub>
              <m:r>
                <m:t>G</m:t>
              </m:r>
            </m:sub>
          </m:sSub>
          <m:r>
            <m:rPr>
              <m:sty m:val="p"/>
            </m:rPr>
            <m:t>:</m:t>
          </m:r>
          <m:sSup>
            <m:e>
              <m:r>
                <m:rPr>
                  <m:sty m:val="p"/>
                  <m:scr m:val="double-struck"/>
                </m:rPr>
                <m:t>R</m:t>
              </m:r>
            </m:e>
            <m:sup>
              <m:r>
                <m:t>2</m:t>
              </m:r>
            </m:sup>
          </m:sSup>
          <m:r>
            <m:rPr>
              <m:sty m:val="p"/>
            </m:rPr>
            <m:t>→</m:t>
          </m:r>
          <m:r>
            <m:rPr>
              <m:sty m:val="p"/>
              <m:scr m:val="double-struck"/>
            </m:rPr>
            <m:t>R</m:t>
          </m:r>
        </m:oMath>
      </m:oMathPara>
    </w:p>
    <w:p>
      <w:pPr>
        <w:pStyle w:val="FirstParagraph"/>
        <w:keepNext/>
      </w:pPr>
      <w:r>
        <w:t xml:space="preserve">n’est pas injective. Par exemple :</w:t>
      </w:r>
    </w:p>
    <w:p>
      <w:pPr>
        <w:pStyle w:val="BodyText"/>
      </w:pPr>
      <m:oMathPara>
        <m:oMathParaPr>
          <m:jc m:val="center"/>
        </m:oMathParaPr>
        <m:oMath>
          <m:r>
            <m:t>Δ</m:t>
          </m:r>
          <m:r>
            <m:t>φ</m:t>
          </m:r>
          <m:r>
            <m:rPr>
              <m:sty m:val="p"/>
            </m:rPr>
            <m:t>=</m:t>
          </m:r>
          <m:r>
            <m:t>1</m:t>
          </m:r>
          <m:r>
            <m:rPr>
              <m:sty m:val="p"/>
            </m:rPr>
            <m:t>,</m:t>
          </m:r>
          <m:r>
            <m:t>  </m:t>
          </m:r>
          <m:r>
            <m:t>Δ</m:t>
          </m:r>
          <m:r>
            <m:t>λ</m:t>
          </m:r>
          <m:r>
            <m:rPr>
              <m:sty m:val="p"/>
            </m:rPr>
            <m:t>=</m:t>
          </m:r>
          <m:r>
            <m:t>2</m:t>
          </m:r>
          <m:d>
            <m:dPr>
              <m:begChr m:val="("/>
              <m:endChr m:val=")"/>
              <m:sepChr m:val=""/>
              <m:grow/>
            </m:dPr>
            <m:e>
              <m:r>
                <m:t>1</m:t>
              </m:r>
              <m:r>
                <m:rPr>
                  <m:sty m:val="p"/>
                </m:rPr>
                <m:t>−</m:t>
              </m:r>
              <m:rad>
                <m:radPr>
                  <m:degHide m:val="on"/>
                </m:radPr>
                <m:deg/>
                <m:e>
                  <m:r>
                    <m:t>2</m:t>
                  </m:r>
                </m:e>
              </m:rad>
            </m:e>
          </m:d>
        </m:oMath>
      </m:oMathPara>
    </w:p>
    <w:p>
      <w:pPr>
        <w:pStyle w:val="FirstParagraph"/>
      </w:pPr>
      <w:r>
        <w:t xml:space="preserve">appartient à son noyau.</w:t>
      </w:r>
    </w:p>
    <w:p>
      <w:pPr>
        <w:pStyle w:val="BodyText"/>
      </w:pPr>
      <w:r>
        <w:rPr>
          <w:b/>
          <w:bCs/>
        </w:rPr>
        <w:t xml:space="preserve">RETENU comme théorème mathématique</w:t>
      </w:r>
      <w:r>
        <w:t xml:space="preserve">.</w:t>
      </w:r>
    </w:p>
    <w:p>
      <w:pPr>
        <w:pStyle w:val="BodyText"/>
      </w:pPr>
      <w:r>
        <w:t xml:space="preserve">Cette non-injectivité sur</w:t>
      </w:r>
      <w:r>
        <w:t xml:space="preserve"> </w:t>
      </w:r>
      <m:oMath>
        <m:sSup>
          <m:e>
            <m:r>
              <m:rPr>
                <m:sty m:val="p"/>
                <m:scr m:val="double-struck"/>
              </m:rPr>
              <m:t>R</m:t>
            </m:r>
          </m:e>
          <m:sup>
            <m:r>
              <m:t>2</m:t>
            </m:r>
          </m:sup>
        </m:sSup>
      </m:oMath>
      <w:r>
        <w:t xml:space="preserve"> </w:t>
      </w:r>
      <w:r>
        <w:t xml:space="preserve">n’est pas contradictoire avec l’usage opérationnel sur un domaine discret ou rationnel déclaré.</w:t>
      </w:r>
    </w:p>
    <w:bookmarkEnd w:id="43"/>
    <w:bookmarkStart w:id="44" w:name="ce-que-e_g-nest-pas-obligé-de-préserver"/>
    <w:p>
      <w:pPr>
        <w:pStyle w:val="Heading2"/>
      </w:pPr>
      <w:r>
        <w:t xml:space="preserve">5.2. Ce que</w:t>
      </w:r>
      <w:r>
        <w:t xml:space="preserve"> </w:t>
      </w:r>
      <m:oMath>
        <m:sSub>
          <m:e>
            <m:r>
              <m:t>E</m:t>
            </m:r>
          </m:e>
          <m:sub>
            <m:r>
              <m:t>G</m:t>
            </m:r>
          </m:sub>
        </m:sSub>
      </m:oMath>
      <w:r>
        <w:t xml:space="preserve"> </w:t>
      </w:r>
      <w:r>
        <w:t xml:space="preserve">n’est pas obligé de préserver</w:t>
      </w:r>
    </w:p>
    <w:p>
      <w:pPr>
        <w:pStyle w:val="FirstParagraph"/>
      </w:pPr>
      <w:r>
        <w:t xml:space="preserve">La projection</w:t>
      </w:r>
      <w:r>
        <w:t xml:space="preserve"> </w:t>
      </w:r>
      <m:oMath>
        <m:sSub>
          <m:e>
            <m:r>
              <m:t>E</m:t>
            </m:r>
          </m:e>
          <m:sub>
            <m:r>
              <m:t>G</m:t>
            </m:r>
          </m:sub>
        </m:sSub>
      </m:oMath>
      <w:r>
        <w:t xml:space="preserve"> </w:t>
      </w:r>
      <w:r>
        <w:t xml:space="preserve">n’est pas supposée être une isométrie de la Terre.</w:t>
      </w:r>
    </w:p>
    <w:p>
      <w:pPr>
        <w:pStyle w:val="BodyText"/>
        <w:keepNext/>
      </w:pPr>
      <w:r>
        <w:t xml:space="preserve">En particulier :</w:t>
      </w:r>
    </w:p>
    <w:p>
      <w:pPr>
        <w:pStyle w:val="BodyText"/>
      </w:pPr>
      <m:oMathPara>
        <m:oMathParaPr>
          <m:jc m:val="center"/>
        </m:oMathParaPr>
        <m:oMath>
          <m:d>
            <m:dPr>
              <m:begChr m:val="|"/>
              <m:endChr m:val="|"/>
              <m:sepChr m:val=""/>
              <m:grow/>
            </m:dPr>
            <m:e>
              <m:sSub>
                <m:e>
                  <m:r>
                    <m:t>E</m:t>
                  </m:r>
                </m:e>
                <m:sub>
                  <m:r>
                    <m:t>G</m:t>
                  </m:r>
                </m:sub>
              </m:sSub>
              <m:d>
                <m:dPr>
                  <m:begChr m:val="("/>
                  <m:endChr m:val=")"/>
                  <m:sepChr m:val=""/>
                  <m:grow/>
                </m:dPr>
                <m:e>
                  <m:r>
                    <m:t>x</m:t>
                  </m:r>
                </m:e>
              </m:d>
              <m:r>
                <m:rPr>
                  <m:sty m:val="p"/>
                </m:rPr>
                <m:t>−</m:t>
              </m:r>
              <m:sSub>
                <m:e>
                  <m:r>
                    <m:t>E</m:t>
                  </m:r>
                </m:e>
                <m:sub>
                  <m:r>
                    <m:t>G</m:t>
                  </m:r>
                </m:sub>
              </m:sSub>
              <m:d>
                <m:dPr>
                  <m:begChr m:val="("/>
                  <m:endChr m:val=")"/>
                  <m:sepChr m:val=""/>
                  <m:grow/>
                </m:dPr>
                <m:e>
                  <m:r>
                    <m:t>y</m:t>
                  </m:r>
                </m:e>
              </m:d>
            </m:e>
          </m:d>
        </m:oMath>
      </m:oMathPara>
    </w:p>
    <w:p>
      <w:pPr>
        <w:pStyle w:val="FirstParagraph"/>
      </w:pPr>
      <w:r>
        <w:t xml:space="preserve">n’est pas une distance géodésique.</w:t>
      </w:r>
    </w:p>
    <w:p>
      <w:pPr>
        <w:pStyle w:val="BodyText"/>
      </w:pPr>
      <w:r>
        <w:t xml:space="preserve">Le rôle de</w:t>
      </w:r>
      <w:r>
        <w:t xml:space="preserve"> </w:t>
      </w:r>
      <m:oMath>
        <m:sSub>
          <m:e>
            <m:r>
              <m:t>E</m:t>
            </m:r>
          </m:e>
          <m:sub>
            <m:r>
              <m:t>G</m:t>
            </m:r>
          </m:sub>
        </m:sSub>
      </m:oMath>
      <w:r>
        <w:t xml:space="preserve"> </w:t>
      </w:r>
      <w:r>
        <w:t xml:space="preserve">est de produire une coordonnée interne stable et compacte.</w:t>
      </w:r>
    </w:p>
    <w:p>
      <w:pPr>
        <w:pStyle w:val="BodyText"/>
      </w:pPr>
      <w:r>
        <w:t xml:space="preserve">La question de savoir si elle doit en plus préserver un ordre, une notion de voisinage ou une localité géographique est</w:t>
      </w:r>
      <w:r>
        <w:t xml:space="preserve"> </w:t>
      </w:r>
      <w:r>
        <w:rPr>
          <w:b/>
          <w:bCs/>
        </w:rPr>
        <w:t xml:space="preserve">À DÉTERMINER par le contrat de représentation</w:t>
      </w:r>
      <w:r>
        <w:t xml:space="preserve">, et non imposée par la géométrie euclidienne interne.</w:t>
      </w:r>
    </w:p>
    <w:bookmarkEnd w:id="44"/>
    <w:bookmarkStart w:id="45" w:name="projection-logique-candidate"/>
    <w:p>
      <w:pPr>
        <w:pStyle w:val="Heading2"/>
      </w:pPr>
      <w:r>
        <w:t xml:space="preserve">5.3. Projection logique candidate</w:t>
      </w:r>
    </w:p>
    <w:p>
      <w:pPr>
        <w:pStyle w:val="FirstParagraph"/>
        <w:keepNext/>
      </w:pPr>
      <w:r>
        <w:t xml:space="preserve">Une source logique est d’abord transformée en une séquence canonique :</w:t>
      </w:r>
    </w:p>
    <w:p>
      <w:pPr>
        <w:pStyle w:val="BodyText"/>
      </w:pPr>
      <m:oMathPara>
        <m:oMathParaPr>
          <m:jc m:val="center"/>
        </m:oMathParaPr>
        <m:oMath>
          <m:r>
            <m:t>Γ</m:t>
          </m:r>
          <m:d>
            <m:dPr>
              <m:begChr m:val="("/>
              <m:endChr m:val=")"/>
              <m:sepChr m:val=""/>
              <m:grow/>
            </m:dPr>
            <m:e>
              <m:r>
                <m:t>u</m:t>
              </m:r>
            </m:e>
          </m:d>
          <m:r>
            <m:rPr>
              <m:sty m:val="p"/>
            </m:rPr>
            <m:t>=</m:t>
          </m:r>
          <m:d>
            <m:dPr>
              <m:begChr m:val="("/>
              <m:endChr m:val=")"/>
              <m:sepChr m:val=""/>
              <m:grow/>
            </m:dPr>
            <m:e>
              <m:sSub>
                <m:e>
                  <m:r>
                    <m:t>c</m:t>
                  </m:r>
                </m:e>
                <m:sub>
                  <m:r>
                    <m:t>0</m:t>
                  </m:r>
                </m:sub>
              </m:sSub>
              <m:r>
                <m:rPr>
                  <m:sty m:val="p"/>
                </m:rPr>
                <m:t>,</m:t>
              </m:r>
              <m:sSub>
                <m:e>
                  <m:r>
                    <m:t>c</m:t>
                  </m:r>
                </m:e>
                <m:sub>
                  <m:r>
                    <m:t>1</m:t>
                  </m:r>
                </m:sub>
              </m:sSub>
              <m:r>
                <m:rPr>
                  <m:sty m:val="p"/>
                </m:rPr>
                <m:t>,</m:t>
              </m:r>
              <m:r>
                <m:rPr>
                  <m:sty m:val="p"/>
                </m:rPr>
                <m:t>…</m:t>
              </m:r>
              <m:r>
                <m:rPr>
                  <m:sty m:val="p"/>
                </m:rPr>
                <m:t>,</m:t>
              </m:r>
              <m:sSub>
                <m:e>
                  <m:r>
                    <m:t>c</m:t>
                  </m:r>
                </m:e>
                <m:sub>
                  <m:r>
                    <m:t>k</m:t>
                  </m:r>
                </m:sub>
              </m:sSub>
            </m:e>
          </m:d>
          <m:r>
            <m:rPr>
              <m:sty m:val="p"/>
            </m:rPr>
            <m:t>,</m:t>
          </m:r>
        </m:oMath>
      </m:oMathPara>
    </w:p>
    <w:p>
      <w:pPr>
        <w:pStyle w:val="FirstParagraph"/>
        <w:keepNext/>
      </w:pPr>
      <w:r>
        <w:t xml:space="preserve">avec :</w:t>
      </w:r>
    </w:p>
    <w:p>
      <w:pPr>
        <w:pStyle w:val="BodyText"/>
      </w:pPr>
      <m:oMathPara>
        <m:oMathParaPr>
          <m:jc m:val="center"/>
        </m:oMathParaPr>
        <m:oMath>
          <m:sSub>
            <m:e>
              <m:r>
                <m:t>c</m:t>
              </m:r>
            </m:e>
            <m:sub>
              <m:r>
                <m:t>j</m:t>
              </m:r>
            </m:sub>
          </m:sSub>
          <m:r>
            <m:rPr>
              <m:sty m:val="p"/>
            </m:rPr>
            <m:t>∈</m:t>
          </m:r>
          <m:r>
            <m:rPr>
              <m:sty m:val="p"/>
              <m:scr m:val="double-struck"/>
            </m:rPr>
            <m:t>Q</m:t>
          </m:r>
          <m:r>
            <m:rPr>
              <m:sty m:val="p"/>
            </m:rPr>
            <m:t>∩</m:t>
          </m:r>
          <m:d>
            <m:dPr>
              <m:begChr m:val="["/>
              <m:endChr m:val="]"/>
              <m:sepChr m:val=""/>
              <m:grow/>
            </m:dPr>
            <m:e>
              <m:r>
                <m:rPr>
                  <m:sty m:val="p"/>
                </m:rPr>
                <m:t>−</m:t>
              </m:r>
              <m:r>
                <m:t>1</m:t>
              </m:r>
              <m:r>
                <m:rPr>
                  <m:sty m:val="p"/>
                </m:rPr>
                <m:t>,</m:t>
              </m:r>
              <m:r>
                <m:t>1</m:t>
              </m:r>
            </m:e>
          </m:d>
          <m:r>
            <m:rPr>
              <m:sty m:val="p"/>
            </m:rPr>
            <m:t>.</m:t>
          </m:r>
        </m:oMath>
      </m:oMathPara>
    </w:p>
    <w:p>
      <w:pPr>
        <w:pStyle w:val="FirstParagraph"/>
      </w:pPr>
      <w:r>
        <w:t xml:space="preserve">La canonisation est</w:t>
      </w:r>
      <w:r>
        <w:t xml:space="preserve"> </w:t>
      </w:r>
      <w:r>
        <w:rPr>
          <w:b/>
          <w:bCs/>
        </w:rPr>
        <w:t xml:space="preserve">scheme-aware</w:t>
      </w:r>
      <w:r>
        <w:t xml:space="preserve"> </w:t>
      </w:r>
      <w:r>
        <w:t xml:space="preserve">: la structure d’une URI dépend de son scheme et ne doit pas être réduite à une segmentation uniforme.</w:t>
      </w:r>
    </w:p>
    <w:p>
      <w:pPr>
        <w:pStyle w:val="BodyText"/>
      </w:pPr>
      <w:r>
        <w:t xml:space="preserve">Cette règle générale est</w:t>
      </w:r>
      <w:r>
        <w:t xml:space="preserve"> </w:t>
      </w:r>
      <w:r>
        <w:rPr>
          <w:b/>
          <w:bCs/>
        </w:rPr>
        <w:t xml:space="preserve">RETENU</w:t>
      </w:r>
      <w:r>
        <w:t xml:space="preserve">.</w:t>
      </w:r>
    </w:p>
    <w:p>
      <w:pPr>
        <w:pStyle w:val="BodyText"/>
        <w:keepNext/>
      </w:pPr>
      <w:r>
        <w:t xml:space="preserve">La fonction exacte qui associe des coefficients rationnels aux nœuds canoniques reste :</w:t>
      </w:r>
    </w:p>
    <w:p>
      <w:pPr>
        <w:pStyle w:val="MakoloCallout"/>
      </w:pPr>
      <w:r>
        <w:rPr>
          <w:rFonts w:ascii="Aptos" w:hAnsi="Aptos" w:eastAsia="Aptos"/>
          <w:b/>
          <w:bCs/>
          <w:color w:val="5232DB"/>
          <w:sz w:val="19"/>
        </w:rPr>
        <w:t xml:space="preserve">À DÉTERMINER</w:t>
      </w:r>
      <w:r>
        <w:rPr>
          <w:rFonts w:ascii="Aptos" w:hAnsi="Aptos" w:eastAsia="Aptos"/>
          <w:b/>
          <w:color w:val="5232DB"/>
          <w:sz w:val="19"/>
        </w:rPr>
        <w:t xml:space="preserve">.</w:t>
      </w:r>
    </w:p>
    <w:p>
      <w:pPr>
        <w:pStyle w:val="BodyText"/>
        <w:keepNext/>
      </w:pPr>
      <w:r>
        <w:t xml:space="preserve">Une construction candidate est :</w:t>
      </w:r>
    </w:p>
    <w:p>
      <w:pPr>
        <w:pStyle w:val="BodyText"/>
      </w:pPr>
      <m:oMathPara>
        <m:oMathParaPr>
          <m:jc m:val="center"/>
        </m:oMathParaPr>
        <m:oMath>
          <m:r>
            <m:t>α</m:t>
          </m:r>
          <m:r>
            <m:rPr>
              <m:sty m:val="p"/>
            </m:rPr>
            <m:t>=</m:t>
          </m:r>
          <m:sSup>
            <m:e>
              <m:r>
                <m:t>e</m:t>
              </m:r>
            </m:e>
            <m:sup>
              <m:r>
                <m:rPr>
                  <m:sty m:val="p"/>
                </m:rPr>
                <m:t>−</m:t>
              </m:r>
              <m:r>
                <m:t>1</m:t>
              </m:r>
            </m:sup>
          </m:sSup>
          <m:r>
            <m:rPr>
              <m:sty m:val="p"/>
            </m:rPr>
            <m:t>,</m:t>
          </m:r>
        </m:oMath>
      </m:oMathPara>
    </w:p>
    <w:p>
      <w:pPr>
        <w:pStyle w:val="FirstParagraph"/>
      </w:pPr>
      <m:oMathPara>
        <m:oMathParaPr>
          <m:jc m:val="center"/>
        </m:oMathParaPr>
        <m:oMath>
          <m:borderBox>
            <m:e>
              <m:sSub>
                <m:e>
                  <m:r>
                    <m:t>E</m:t>
                  </m:r>
                </m:e>
                <m:sub>
                  <m:r>
                    <m:t>I</m:t>
                  </m:r>
                </m:sub>
              </m:sSub>
              <m:d>
                <m:dPr>
                  <m:begChr m:val="("/>
                  <m:endChr m:val=")"/>
                  <m:sepChr m:val=""/>
                  <m:grow/>
                </m:dPr>
                <m:e>
                  <m:sSub>
                    <m:e>
                      <m:r>
                        <m:t>c</m:t>
                      </m:r>
                    </m:e>
                    <m:sub>
                      <m:r>
                        <m:t>0</m:t>
                      </m:r>
                    </m:sub>
                  </m:sSub>
                  <m:r>
                    <m:rPr>
                      <m:sty m:val="p"/>
                    </m:rPr>
                    <m:t>,</m:t>
                  </m:r>
                  <m:r>
                    <m:rPr>
                      <m:sty m:val="p"/>
                    </m:rPr>
                    <m:t>…</m:t>
                  </m:r>
                  <m:r>
                    <m:rPr>
                      <m:sty m:val="p"/>
                    </m:rPr>
                    <m:t>,</m:t>
                  </m:r>
                  <m:sSub>
                    <m:e>
                      <m:r>
                        <m:t>c</m:t>
                      </m:r>
                    </m:e>
                    <m:sub>
                      <m:r>
                        <m:t>k</m:t>
                      </m:r>
                    </m:sub>
                  </m:sSub>
                </m:e>
              </m:d>
              <m:r>
                <m:rPr>
                  <m:sty m:val="p"/>
                </m:rPr>
                <m:t>=</m:t>
              </m:r>
              <m:r>
                <m:t>180</m:t>
              </m:r>
              <m:d>
                <m:dPr>
                  <m:begChr m:val="("/>
                  <m:endChr m:val=")"/>
                  <m:sepChr m:val=""/>
                  <m:grow/>
                </m:dPr>
                <m:e>
                  <m:r>
                    <m:t>1</m:t>
                  </m:r>
                  <m:r>
                    <m:rPr>
                      <m:sty m:val="p"/>
                    </m:rPr>
                    <m:t>−</m:t>
                  </m:r>
                  <m:r>
                    <m:t>α</m:t>
                  </m:r>
                </m:e>
              </m:d>
              <m:d>
                <m:dPr>
                  <m:begChr m:val="["/>
                  <m:endChr m:val="]"/>
                  <m:sepChr m:val=""/>
                  <m:grow/>
                </m:dPr>
                <m:e>
                  <m:nary>
                    <m:naryPr>
                      <m:chr m:val="∑"/>
                      <m:limLoc m:val="undOvr"/>
                      <m:subHide m:val="off"/>
                      <m:supHide m:val="off"/>
                    </m:naryPr>
                    <m:sub>
                      <m:r>
                        <m:t>j</m:t>
                      </m:r>
                      <m:r>
                        <m:rPr>
                          <m:sty m:val="p"/>
                        </m:rPr>
                        <m:t>=</m:t>
                      </m:r>
                      <m:r>
                        <m:t>0</m:t>
                      </m:r>
                    </m:sub>
                    <m:sup>
                      <m:r>
                        <m:t>k</m:t>
                      </m:r>
                    </m:sup>
                    <m:e>
                      <m:sSub>
                        <m:e>
                          <m:r>
                            <m:t>c</m:t>
                          </m:r>
                        </m:e>
                        <m:sub>
                          <m:r>
                            <m:t>j</m:t>
                          </m:r>
                        </m:sub>
                      </m:sSub>
                    </m:e>
                  </m:nary>
                  <m:sSup>
                    <m:e>
                      <m:r>
                        <m:t>α</m:t>
                      </m:r>
                    </m:e>
                    <m:sup>
                      <m:r>
                        <m:t>j</m:t>
                      </m:r>
                    </m:sup>
                  </m:sSup>
                  <m:r>
                    <m:rPr>
                      <m:sty m:val="p"/>
                    </m:rPr>
                    <m:t>+</m:t>
                  </m:r>
                  <m:r>
                    <m:t>τ</m:t>
                  </m:r>
                  <m:sSup>
                    <m:e>
                      <m:r>
                        <m:t>α</m:t>
                      </m:r>
                    </m:e>
                    <m:sup>
                      <m:r>
                        <m:t>k</m:t>
                      </m:r>
                      <m:r>
                        <m:rPr>
                          <m:sty m:val="p"/>
                        </m:rPr>
                        <m:t>+</m:t>
                      </m:r>
                      <m:r>
                        <m:t>1</m:t>
                      </m:r>
                    </m:sup>
                  </m:sSup>
                </m:e>
              </m:d>
              <m:r>
                <m:rPr>
                  <m:sty m:val="p"/>
                </m:rPr>
                <m:t>,</m:t>
              </m:r>
            </m:e>
          </m:borderBox>
        </m:oMath>
      </m:oMathPara>
    </w:p>
    <w:p>
      <w:pPr>
        <w:pStyle w:val="FirstParagraph"/>
      </w:pPr>
      <w:r>
        <w:t xml:space="preserve">avec</w:t>
      </w:r>
      <w:r>
        <w:t xml:space="preserve"> </w:t>
      </w:r>
      <m:oMath>
        <m:r>
          <m:t>τ</m:t>
        </m:r>
        <m:r>
          <m:rPr>
            <m:sty m:val="p"/>
          </m:rPr>
          <m:t>∈</m:t>
        </m:r>
        <m:r>
          <m:rPr>
            <m:sty m:val="p"/>
            <m:scr m:val="double-struck"/>
          </m:rPr>
          <m:t>Q</m:t>
        </m:r>
        <m:r>
          <m:rPr>
            <m:sty m:val="p"/>
          </m:rPr>
          <m:t>\</m:t>
        </m:r>
        <m:r>
          <m:rPr>
            <m:sty m:val="p"/>
          </m:rPr>
          <m:t>{</m:t>
        </m:r>
        <m:r>
          <m:t>0</m:t>
        </m:r>
        <m:r>
          <m:rPr>
            <m:sty m:val="p"/>
          </m:rPr>
          <m:t>}</m:t>
        </m:r>
      </m:oMath>
      <w:r>
        <w:t xml:space="preserve"> </w:t>
      </w:r>
      <w:r>
        <w:t xml:space="preserve">et</w:t>
      </w:r>
      <w:r>
        <w:t xml:space="preserve"> </w:t>
      </w:r>
      <m:oMath>
        <m:d>
          <m:dPr>
            <m:begChr m:val="|"/>
            <m:endChr m:val="|"/>
            <m:sepChr m:val=""/>
            <m:grow/>
          </m:dPr>
          <m:e>
            <m:r>
              <m:t>τ</m:t>
            </m:r>
          </m:e>
        </m:d>
        <m:r>
          <m:rPr>
            <m:sty m:val="p"/>
          </m:rPr>
          <m:t>≤</m:t>
        </m:r>
        <m:r>
          <m:t>1</m:t>
        </m:r>
      </m:oMath>
      <w:r>
        <w:t xml:space="preserve">.</w:t>
      </w:r>
    </w:p>
    <w:p>
      <w:pPr>
        <w:pStyle w:val="MakoloCallout"/>
      </w:pPr>
      <w:r>
        <w:rPr>
          <w:rFonts w:ascii="Aptos" w:hAnsi="Aptos" w:eastAsia="Aptos"/>
          <w:b/>
          <w:bCs/>
          <w:color w:val="5232DB"/>
          <w:sz w:val="19"/>
        </w:rPr>
        <w:t xml:space="preserve">CANDIDAT</w:t>
      </w:r>
      <w:r>
        <w:rPr>
          <w:rFonts w:ascii="Aptos" w:hAnsi="Aptos" w:eastAsia="Aptos"/>
          <w:b/>
          <w:color w:val="5232DB"/>
          <w:sz w:val="19"/>
        </w:rPr>
        <w:t xml:space="preserve">.</w:t>
      </w:r>
    </w:p>
    <w:p>
      <w:pPr>
        <w:pStyle w:val="BodyText"/>
        <w:keepNext/>
      </w:pPr>
      <w:r>
        <w:t xml:space="preserve">Sous ces hypothèses :</w:t>
      </w:r>
    </w:p>
    <w:p>
      <w:pPr>
        <w:pStyle w:val="BodyText"/>
      </w:pPr>
      <m:oMathPara>
        <m:oMathParaPr>
          <m:jc m:val="center"/>
        </m:oMathParaPr>
        <m:oMath>
          <m:d>
            <m:dPr>
              <m:begChr m:val="|"/>
              <m:endChr m:val="|"/>
              <m:sepChr m:val=""/>
              <m:grow/>
            </m:dPr>
            <m:e>
              <m:r>
                <m:t>i</m:t>
              </m:r>
            </m:e>
          </m:d>
          <m:r>
            <m:rPr>
              <m:sty m:val="p"/>
            </m:rPr>
            <m:t>&lt;</m:t>
          </m:r>
          <m:r>
            <m:t>180</m:t>
          </m:r>
          <m:r>
            <m:rPr>
              <m:sty m:val="p"/>
            </m:rPr>
            <m:t>.</m:t>
          </m:r>
        </m:oMath>
      </m:oMathPara>
    </w:p>
    <w:p>
      <w:pPr>
        <w:pStyle w:val="FirstParagraph"/>
      </w:pPr>
      <w:r>
        <w:t xml:space="preserve">La transcendance de</w:t>
      </w:r>
      <w:r>
        <w:t xml:space="preserve"> </w:t>
      </w:r>
      <m:oMath>
        <m:sSup>
          <m:e>
            <m:r>
              <m:t>e</m:t>
            </m:r>
          </m:e>
          <m:sup>
            <m:r>
              <m:rPr>
                <m:sty m:val="p"/>
              </m:rPr>
              <m:t>−</m:t>
            </m:r>
            <m:r>
              <m:t>1</m:t>
            </m:r>
          </m:sup>
        </m:sSup>
      </m:oMath>
      <w:r>
        <w:t xml:space="preserve"> </w:t>
      </w:r>
      <w:r>
        <w:t xml:space="preserve">implique également l’injectivité de la représentation polynomiale lorsque la séquence canonique est unique et rationnelle.</w:t>
      </w:r>
    </w:p>
    <w:p>
      <w:pPr>
        <w:pStyle w:val="BodyText"/>
      </w:pPr>
      <w:r>
        <w:rPr>
          <w:b/>
          <w:bCs/>
        </w:rPr>
        <w:t xml:space="preserve">RETENU comme théorème conditionnel</w:t>
      </w:r>
      <w:r>
        <w:t xml:space="preserve">.</w:t>
      </w:r>
    </w:p>
    <w:bookmarkEnd w:id="45"/>
    <w:bookmarkStart w:id="46" w:name="interprétation-de-laxe-logique"/>
    <w:p>
      <w:pPr>
        <w:pStyle w:val="Heading2"/>
      </w:pPr>
      <w:r>
        <w:t xml:space="preserve">5.4. Interprétation de l’axe logique</w:t>
      </w:r>
    </w:p>
    <w:p>
      <w:pPr>
        <w:pStyle w:val="FirstParagraph"/>
      </w:pPr>
      <w:r>
        <w:t xml:space="preserve">Le nombre</w:t>
      </w:r>
      <w:r>
        <w:t xml:space="preserve"> </w:t>
      </w:r>
      <m:oMath>
        <m:r>
          <m:t>i</m:t>
        </m:r>
      </m:oMath>
      <w:r>
        <w:t xml:space="preserve"> </w:t>
      </w:r>
      <w:r>
        <w:t xml:space="preserve">est d’abord une</w:t>
      </w:r>
      <w:r>
        <w:t xml:space="preserve"> </w:t>
      </w:r>
      <w:r>
        <w:rPr>
          <w:b/>
          <w:bCs/>
        </w:rPr>
        <w:t xml:space="preserve">coordonnée interne</w:t>
      </w:r>
      <w:r>
        <w:t xml:space="preserve">.</w:t>
      </w:r>
    </w:p>
    <w:p>
      <w:pPr>
        <w:pStyle w:val="BodyText"/>
        <w:keepNext/>
      </w:pPr>
      <w:r>
        <w:t xml:space="preserve">Une grande différence</w:t>
      </w:r>
      <w:r>
        <w:t xml:space="preserve"> </w:t>
      </w:r>
      <m:oMath>
        <m:d>
          <m:dPr>
            <m:begChr m:val="|"/>
            <m:endChr m:val="|"/>
            <m:sepChr m:val=""/>
            <m:grow/>
          </m:dPr>
          <m:e>
            <m:sSub>
              <m:e>
                <m:r>
                  <m:t>i</m:t>
                </m:r>
              </m:e>
              <m:sub>
                <m:r>
                  <m:t>2</m:t>
                </m:r>
              </m:sub>
            </m:sSub>
            <m:r>
              <m:rPr>
                <m:sty m:val="p"/>
              </m:rPr>
              <m:t>−</m:t>
            </m:r>
            <m:sSub>
              <m:e>
                <m:r>
                  <m:t>i</m:t>
                </m:r>
              </m:e>
              <m:sub>
                <m:r>
                  <m:t>1</m:t>
                </m:r>
              </m:sub>
            </m:sSub>
          </m:e>
        </m:d>
      </m:oMath>
      <w:r>
        <w:t xml:space="preserve"> </w:t>
      </w:r>
      <w:r>
        <w:t xml:space="preserve">ne signifie pas automatiquement :</w:t>
      </w:r>
    </w:p>
    <w:p>
      <w:pPr>
        <w:pStyle w:val="Compact"/>
        <w:numPr>
          <w:ilvl w:val="0"/>
          <w:numId w:val="1007"/>
        </w:numPr>
      </w:pPr>
      <w:r>
        <w:t xml:space="preserve">plus de difficulté ;</w:t>
      </w:r>
    </w:p>
    <w:p>
      <w:pPr>
        <w:pStyle w:val="Compact"/>
        <w:numPr>
          <w:ilvl w:val="0"/>
          <w:numId w:val="1007"/>
        </w:numPr>
      </w:pPr>
      <w:r>
        <w:t xml:space="preserve">plus d’étapes ;</w:t>
      </w:r>
    </w:p>
    <w:p>
      <w:pPr>
        <w:pStyle w:val="Compact"/>
        <w:numPr>
          <w:ilvl w:val="0"/>
          <w:numId w:val="1007"/>
        </w:numPr>
      </w:pPr>
      <w:r>
        <w:t xml:space="preserve">moins de possibilités ;</w:t>
      </w:r>
    </w:p>
    <w:p>
      <w:pPr>
        <w:pStyle w:val="Compact"/>
        <w:numPr>
          <w:ilvl w:val="0"/>
          <w:numId w:val="1007"/>
        </w:numPr>
      </w:pPr>
      <w:r>
        <w:t xml:space="preserve">plus de coût.</w:t>
      </w:r>
    </w:p>
    <w:p>
      <w:pPr>
        <w:pStyle w:val="FirstParagraph"/>
      </w:pPr>
      <w:r>
        <w:t xml:space="preserve">Ces notions sont extérieures à la géométrie elle-même.</w:t>
      </w:r>
    </w:p>
    <w:p>
      <w:pPr>
        <w:pStyle w:val="BodyText"/>
      </w:pPr>
      <w:r>
        <w:t xml:space="preserve">La géométrie interne peut néanmoins utiliser</w:t>
      </w:r>
      <w:r>
        <w:t xml:space="preserve"> </w:t>
      </w:r>
      <m:oMath>
        <m:r>
          <m:t>i</m:t>
        </m:r>
      </m:oMath>
      <w:r>
        <w:t xml:space="preserve"> </w:t>
      </w:r>
      <w:r>
        <w:t xml:space="preserve">comme axe euclidien parce que cette propriété est constitutive de l’Univers Makolo, et non parce qu’elle prétend reproduire une métrique universelle des URI.</w:t>
      </w:r>
    </w:p>
    <w:bookmarkEnd w:id="46"/>
    <w:bookmarkEnd w:id="47"/>
    <w:bookmarkStart w:id="51" w:name="temps-et-situations"/>
    <w:p>
      <w:pPr>
        <w:pStyle w:val="Heading1"/>
      </w:pPr>
      <w:r>
        <w:t xml:space="preserve">6. Temps et situations</w:t>
      </w:r>
    </w:p>
    <w:bookmarkStart w:id="48" w:name="temps"/>
    <w:p>
      <w:pPr>
        <w:pStyle w:val="Heading2"/>
      </w:pPr>
      <w:r>
        <w:t xml:space="preserve">6.1. Temps</w:t>
      </w:r>
    </w:p>
    <w:p>
      <w:pPr>
        <w:pStyle w:val="FirstParagraph"/>
        <w:keepNext/>
      </w:pPr>
      <w:r>
        <w:t xml:space="preserve">Le temps est représenté par un ensemble ordonné :</w:t>
      </w:r>
    </w:p>
    <w:p>
      <w:pPr>
        <w:pStyle w:val="BodyText"/>
      </w:pPr>
      <m:oMathPara>
        <m:oMathParaPr>
          <m:jc m:val="center"/>
        </m:oMathParaPr>
        <m:oMath>
          <m:borderBox>
            <m:e>
              <m:r>
                <m:t>t</m:t>
              </m:r>
              <m:r>
                <m:rPr>
                  <m:sty m:val="p"/>
                </m:rPr>
                <m:t>∈</m:t>
              </m:r>
              <m:r>
                <m:t>T</m:t>
              </m:r>
            </m:e>
          </m:borderBox>
          <m:r>
            <m:rPr>
              <m:sty m:val="p"/>
            </m:rPr>
            <m:t>.</m:t>
          </m:r>
        </m:oMath>
      </m:oMathPara>
    </w:p>
    <w:p>
      <w:pPr>
        <w:pStyle w:val="MakoloCallout"/>
      </w:pPr>
      <w:r>
        <w:rPr>
          <w:rFonts w:ascii="Aptos" w:hAnsi="Aptos" w:eastAsia="Aptos"/>
          <w:b/>
          <w:bCs/>
          <w:color w:val="5232DB"/>
          <w:sz w:val="19"/>
        </w:rPr>
        <w:t xml:space="preserve">RETENU</w:t>
      </w:r>
      <w:r>
        <w:rPr>
          <w:rFonts w:ascii="Aptos" w:hAnsi="Aptos" w:eastAsia="Aptos"/>
          <w:b/>
          <w:color w:val="5232DB"/>
          <w:sz w:val="19"/>
        </w:rPr>
        <w:t xml:space="preserve">.</w:t>
      </w:r>
    </w:p>
    <w:p>
      <w:pPr>
        <w:pStyle w:val="BodyText"/>
      </w:pPr>
      <w:r>
        <w:t xml:space="preserve">Au minimum,</w:t>
      </w:r>
      <w:r>
        <w:t xml:space="preserve"> </w:t>
      </w:r>
      <m:oMath>
        <m:r>
          <m:t>T</m:t>
        </m:r>
      </m:oMath>
      <w:r>
        <w:t xml:space="preserve"> </w:t>
      </w:r>
      <w:r>
        <w:t xml:space="preserve">ordonne les situations.</w:t>
      </w:r>
    </w:p>
    <w:p>
      <w:pPr>
        <w:pStyle w:val="BodyText"/>
      </w:pPr>
      <w:r>
        <w:t xml:space="preserve">Une structure temporelle métrique ou continue n’est pas universellement imposée.</w:t>
      </w:r>
    </w:p>
    <w:bookmarkEnd w:id="48"/>
    <w:bookmarkStart w:id="49" w:name="état-et-situation"/>
    <w:p>
      <w:pPr>
        <w:pStyle w:val="Heading2"/>
      </w:pPr>
      <w:r>
        <w:t xml:space="preserve">6.2. État et situation</w:t>
      </w:r>
    </w:p>
    <w:p>
      <w:pPr>
        <w:pStyle w:val="FirstParagraph"/>
        <w:keepNext/>
      </w:pPr>
      <w:r>
        <w:t xml:space="preserve">L’état global à l’instant</w:t>
      </w:r>
      <w:r>
        <w:t xml:space="preserve"> </w:t>
      </w:r>
      <m:oMath>
        <m:r>
          <m:t>t</m:t>
        </m:r>
      </m:oMath>
      <w:r>
        <w:t xml:space="preserve"> </w:t>
      </w:r>
      <w:r>
        <w:t xml:space="preserve">est :</w:t>
      </w:r>
    </w:p>
    <w:p>
      <w:pPr>
        <w:pStyle w:val="BodyText"/>
      </w:pPr>
      <m:oMathPara>
        <m:oMathParaPr>
          <m:jc m:val="center"/>
        </m:oMathParaPr>
        <m:oMath>
          <m:r>
            <m:t>X</m:t>
          </m:r>
          <m:d>
            <m:dPr>
              <m:begChr m:val="("/>
              <m:endChr m:val=")"/>
              <m:sepChr m:val=""/>
              <m:grow/>
            </m:dPr>
            <m:e>
              <m:r>
                <m:t>t</m:t>
              </m:r>
            </m:e>
          </m:d>
          <m:r>
            <m:rPr>
              <m:sty m:val="p"/>
            </m:rPr>
            <m:t>∈</m:t>
          </m:r>
          <m:sSub>
            <m:e>
              <m:r>
                <m:t>Γ</m:t>
              </m:r>
            </m:e>
            <m:sub>
              <m:r>
                <m:t>M</m:t>
              </m:r>
            </m:sub>
          </m:sSub>
          <m:r>
            <m:rPr>
              <m:sty m:val="p"/>
            </m:rPr>
            <m:t>,</m:t>
          </m:r>
        </m:oMath>
      </m:oMathPara>
    </w:p>
    <w:p>
      <w:pPr>
        <w:pStyle w:val="FirstParagraph"/>
        <w:keepNext/>
      </w:pPr>
      <w:r>
        <w:t xml:space="preserve">et une situation est :</w:t>
      </w:r>
    </w:p>
    <w:p>
      <w:pPr>
        <w:pStyle w:val="BodyText"/>
      </w:pPr>
      <m:oMathPara>
        <m:oMathParaPr>
          <m:jc m:val="center"/>
        </m:oMathParaPr>
        <m:oMath>
          <m:borderBox>
            <m:e>
              <m:r>
                <m:t>Ξ</m:t>
              </m:r>
              <m:r>
                <m:rPr>
                  <m:sty m:val="p"/>
                </m:rPr>
                <m:t>=</m:t>
              </m:r>
              <m:d>
                <m:dPr>
                  <m:begChr m:val="("/>
                  <m:endChr m:val=")"/>
                  <m:sepChr m:val=""/>
                  <m:grow/>
                </m:dPr>
                <m:e>
                  <m:r>
                    <m:t>t</m:t>
                  </m:r>
                  <m:r>
                    <m:rPr>
                      <m:sty m:val="p"/>
                    </m:rPr>
                    <m:t>,</m:t>
                  </m:r>
                  <m:r>
                    <m:t>X</m:t>
                  </m:r>
                </m:e>
              </m:d>
              <m:r>
                <m:rPr>
                  <m:sty m:val="p"/>
                </m:rPr>
                <m:t>∈</m:t>
              </m:r>
              <m:sSub>
                <m:e>
                  <m:r>
                    <m:t>Σ</m:t>
                  </m:r>
                </m:e>
                <m:sub>
                  <m:r>
                    <m:t>M</m:t>
                  </m:r>
                </m:sub>
              </m:sSub>
              <m:r>
                <m:rPr>
                  <m:sty m:val="p"/>
                </m:rPr>
                <m:t>⊆</m:t>
              </m:r>
              <m:r>
                <m:t>T</m:t>
              </m:r>
              <m:r>
                <m:rPr>
                  <m:sty m:val="p"/>
                </m:rPr>
                <m:t>×</m:t>
              </m:r>
              <m:sSub>
                <m:e>
                  <m:r>
                    <m:t>Γ</m:t>
                  </m:r>
                </m:e>
                <m:sub>
                  <m:r>
                    <m:t>M</m:t>
                  </m:r>
                </m:sub>
              </m:sSub>
              <m:r>
                <m:rPr>
                  <m:sty m:val="p"/>
                </m:rPr>
                <m:t>.</m:t>
              </m:r>
            </m:e>
          </m:borderBox>
        </m:oMath>
      </m:oMathPara>
    </w:p>
    <w:p>
      <w:pPr>
        <w:pStyle w:val="MakoloCallout"/>
      </w:pPr>
      <w:r>
        <w:rPr>
          <w:rFonts w:ascii="Aptos" w:hAnsi="Aptos" w:eastAsia="Aptos"/>
          <w:b/>
          <w:bCs/>
          <w:color w:val="5232DB"/>
          <w:sz w:val="19"/>
        </w:rPr>
        <w:t xml:space="preserve">RETENU</w:t>
      </w:r>
      <w:r>
        <w:rPr>
          <w:rFonts w:ascii="Aptos" w:hAnsi="Aptos" w:eastAsia="Aptos"/>
          <w:b/>
          <w:color w:val="5232DB"/>
          <w:sz w:val="19"/>
        </w:rPr>
        <w:t xml:space="preserve">.</w:t>
      </w:r>
    </w:p>
    <w:p>
      <w:pPr>
        <w:pStyle w:val="BodyText"/>
      </w:pPr>
      <w:r>
        <w:t xml:space="preserve">L’état doit être suffisamment complet pour contenir toute information encore pertinente pour l’évolution endogène future.</w:t>
      </w:r>
    </w:p>
    <w:p>
      <w:pPr>
        <w:pStyle w:val="BodyText"/>
      </w:pPr>
      <w:r>
        <w:t xml:space="preserve">Si deux situations possédant le même</w:t>
      </w:r>
      <w:r>
        <w:t xml:space="preserve"> </w:t>
      </w:r>
      <m:oMath>
        <m:r>
          <m:t>X</m:t>
        </m:r>
      </m:oMath>
      <w:r>
        <w:t xml:space="preserve"> </w:t>
      </w:r>
      <w:r>
        <w:t xml:space="preserve">et les mêmes paramètres ont des futurs endogènes différents, alors soit :</w:t>
      </w:r>
    </w:p>
    <w:p>
      <w:pPr>
        <w:pStyle w:val="Compact"/>
        <w:numPr>
          <w:ilvl w:val="0"/>
          <w:numId w:val="1008"/>
        </w:numPr>
      </w:pPr>
      <w:r>
        <w:t xml:space="preserve">l’état est incomplet ;</w:t>
      </w:r>
    </w:p>
    <w:p>
      <w:pPr>
        <w:pStyle w:val="Compact"/>
        <w:numPr>
          <w:ilvl w:val="0"/>
          <w:numId w:val="1008"/>
        </w:numPr>
      </w:pPr>
      <w:r>
        <w:t xml:space="preserve">une variable pertinente manque ;</w:t>
      </w:r>
    </w:p>
    <w:p>
      <w:pPr>
        <w:pStyle w:val="Compact"/>
        <w:numPr>
          <w:ilvl w:val="0"/>
          <w:numId w:val="1008"/>
        </w:numPr>
      </w:pPr>
      <w:r>
        <w:t xml:space="preserve">la loi dynamique est incorrectement formulée.</w:t>
      </w:r>
    </w:p>
    <w:bookmarkEnd w:id="49"/>
    <w:bookmarkStart w:id="50" w:name="temps-continu-sectoriel"/>
    <w:p>
      <w:pPr>
        <w:pStyle w:val="Heading2"/>
      </w:pPr>
      <w:r>
        <w:t xml:space="preserve">6.3. Temps continu sectoriel</w:t>
      </w:r>
    </w:p>
    <w:p>
      <w:pPr>
        <w:pStyle w:val="FirstParagraph"/>
        <w:keepNext/>
      </w:pPr>
      <w:r>
        <w:t xml:space="preserve">Lorsqu’un secteur dispose d’un paramétrage temporel réel :</w:t>
      </w:r>
    </w:p>
    <w:p>
      <w:pPr>
        <w:pStyle w:val="BodyText"/>
      </w:pPr>
      <m:oMathPara>
        <m:oMathParaPr>
          <m:jc m:val="center"/>
        </m:oMathParaPr>
        <m:oMath>
          <m:r>
            <m:t>t</m:t>
          </m:r>
          <m:r>
            <m:rPr>
              <m:sty m:val="p"/>
            </m:rPr>
            <m:t>∈</m:t>
          </m:r>
          <m:r>
            <m:t>I</m:t>
          </m:r>
          <m:r>
            <m:rPr>
              <m:sty m:val="p"/>
            </m:rPr>
            <m:t>⊆</m:t>
          </m:r>
          <m:r>
            <m:rPr>
              <m:sty m:val="p"/>
              <m:scr m:val="double-struck"/>
            </m:rPr>
            <m:t>R</m:t>
          </m:r>
          <m:r>
            <m:rPr>
              <m:sty m:val="p"/>
            </m:rPr>
            <m:t>,</m:t>
          </m:r>
        </m:oMath>
      </m:oMathPara>
    </w:p>
    <w:p>
      <w:pPr>
        <w:pStyle w:val="FirstParagraph"/>
      </w:pPr>
      <w:r>
        <w:t xml:space="preserve">et d’une trajectoire suffisamment régulière, les outils classiques de la cinématique différentielle deviennent applicables.</w:t>
      </w:r>
    </w:p>
    <w:p>
      <w:pPr>
        <w:pStyle w:val="BodyText"/>
        <w:keepNext/>
      </w:pPr>
      <w:r>
        <w:t xml:space="preserve">Cette spécialisation est :</w:t>
      </w:r>
    </w:p>
    <w:p>
      <w:pPr>
        <w:pStyle w:val="BodyText"/>
      </w:pPr>
      <w:r>
        <w:rPr>
          <w:b/>
          <w:bCs/>
        </w:rPr>
        <w:t xml:space="preserve">CANDIDAT sectoriel</w:t>
      </w:r>
      <w:r>
        <w:t xml:space="preserve">.</w:t>
      </w:r>
    </w:p>
    <w:p>
      <w:pPr>
        <w:pStyle w:val="BodyText"/>
      </w:pPr>
      <w:r>
        <w:t xml:space="preserve">Le simple ordre de</w:t>
      </w:r>
      <w:r>
        <w:t xml:space="preserve"> </w:t>
      </w:r>
      <m:oMath>
        <m:r>
          <m:t>T</m:t>
        </m:r>
      </m:oMath>
      <w:r>
        <w:t xml:space="preserve"> </w:t>
      </w:r>
      <w:r>
        <w:t xml:space="preserve">ne suffit pas à justifier des dérivées.</w:t>
      </w:r>
    </w:p>
    <w:bookmarkEnd w:id="50"/>
    <w:bookmarkEnd w:id="51"/>
    <w:bookmarkStart w:id="55" w:name="corpsmakolo-et-états-physiques"/>
    <w:p>
      <w:pPr>
        <w:pStyle w:val="Heading1"/>
      </w:pPr>
      <w:r>
        <w:t xml:space="preserve">7. CorpsMakolo et états physiques</w:t>
      </w:r>
    </w:p>
    <w:bookmarkStart w:id="52" w:name="corpsmakolo"/>
    <w:p>
      <w:pPr>
        <w:pStyle w:val="Heading2"/>
      </w:pPr>
      <w:r>
        <w:t xml:space="preserve">7.1. CorpsMakolo</w:t>
      </w:r>
    </w:p>
    <w:p>
      <w:pPr>
        <w:pStyle w:val="FirstParagraph"/>
        <w:keepNext/>
      </w:pPr>
      <w:r>
        <w:t xml:space="preserve">Un CorpsMakolo est représenté au minimum par :</w:t>
      </w:r>
    </w:p>
    <w:p>
      <w:pPr>
        <w:pStyle w:val="BodyText"/>
      </w:pPr>
      <m:oMathPara>
        <m:oMathParaPr>
          <m:jc m:val="center"/>
        </m:oMathParaPr>
        <m:oMath>
          <m:borderBox>
            <m:e>
              <m:r>
                <m:t>B</m:t>
              </m:r>
              <m:r>
                <m:rPr>
                  <m:sty m:val="p"/>
                </m:rPr>
                <m:t>=</m:t>
              </m:r>
              <m:d>
                <m:dPr>
                  <m:begChr m:val="("/>
                  <m:endChr m:val=")"/>
                  <m:sepChr m:val=""/>
                  <m:grow/>
                </m:dPr>
                <m:e>
                  <m:r>
                    <m:t>I</m:t>
                  </m:r>
                  <m:sSub>
                    <m:e>
                      <m:r>
                        <m:t>d</m:t>
                      </m:r>
                    </m:e>
                    <m:sub>
                      <m:r>
                        <m:t>B</m:t>
                      </m:r>
                    </m:sub>
                  </m:sSub>
                  <m:r>
                    <m:rPr>
                      <m:sty m:val="p"/>
                    </m:rPr>
                    <m:t>,</m:t>
                  </m:r>
                  <m:sSub>
                    <m:e>
                      <m:r>
                        <m:t>Q</m:t>
                      </m:r>
                    </m:e>
                    <m:sub>
                      <m:r>
                        <m:t>B</m:t>
                      </m:r>
                    </m:sub>
                  </m:sSub>
                  <m:r>
                    <m:rPr>
                      <m:sty m:val="p"/>
                    </m:rPr>
                    <m:t>,</m:t>
                  </m:r>
                  <m:sSub>
                    <m:e>
                      <m:r>
                        <m:t>σ</m:t>
                      </m:r>
                    </m:e>
                    <m:sub>
                      <m:r>
                        <m:t>B</m:t>
                      </m:r>
                    </m:sub>
                  </m:sSub>
                </m:e>
              </m:d>
            </m:e>
          </m:borderBox>
        </m:oMath>
      </m:oMathPara>
    </w:p>
    <w:p>
      <w:pPr>
        <w:pStyle w:val="FirstParagraph"/>
        <w:keepNext/>
      </w:pPr>
      <w:r>
        <w:t xml:space="preserve">où :</w:t>
      </w:r>
    </w:p>
    <w:p>
      <w:pPr>
        <w:pStyle w:val="Compact"/>
        <w:numPr>
          <w:ilvl w:val="0"/>
          <w:numId w:val="1009"/>
        </w:numPr>
      </w:pPr>
      <m:oMath>
        <m:r>
          <m:t>I</m:t>
        </m:r>
        <m:sSub>
          <m:e>
            <m:r>
              <m:t>d</m:t>
            </m:r>
          </m:e>
          <m:sub>
            <m:r>
              <m:t>B</m:t>
            </m:r>
          </m:sub>
        </m:sSub>
      </m:oMath>
      <w:r>
        <w:t xml:space="preserve"> </w:t>
      </w:r>
      <w:r>
        <w:t xml:space="preserve">est son identité ;</w:t>
      </w:r>
    </w:p>
    <w:p>
      <w:pPr>
        <w:pStyle w:val="Compact"/>
        <w:numPr>
          <w:ilvl w:val="0"/>
          <w:numId w:val="1009"/>
        </w:numPr>
      </w:pPr>
      <m:oMath>
        <m:sSub>
          <m:e>
            <m:r>
              <m:t>Q</m:t>
            </m:r>
          </m:e>
          <m:sub>
            <m:r>
              <m:t>B</m:t>
            </m:r>
          </m:sub>
        </m:sSub>
      </m:oMath>
      <w:r>
        <w:t xml:space="preserve"> </w:t>
      </w:r>
      <w:r>
        <w:t xml:space="preserve">sa configuration ;</w:t>
      </w:r>
    </w:p>
    <w:p>
      <w:pPr>
        <w:pStyle w:val="Compact"/>
        <w:numPr>
          <w:ilvl w:val="0"/>
          <w:numId w:val="1009"/>
        </w:numPr>
      </w:pPr>
      <m:oMath>
        <m:sSub>
          <m:e>
            <m:r>
              <m:t>σ</m:t>
            </m:r>
          </m:e>
          <m:sub>
            <m:r>
              <m:t>B</m:t>
            </m:r>
          </m:sub>
        </m:sSub>
      </m:oMath>
      <w:r>
        <w:t xml:space="preserve"> </w:t>
      </w:r>
      <w:r>
        <w:t xml:space="preserve">son état interne.</w:t>
      </w:r>
    </w:p>
    <w:p>
      <w:pPr>
        <w:pStyle w:val="MakoloCallout"/>
      </w:pPr>
      <w:r>
        <w:rPr>
          <w:rFonts w:ascii="Aptos" w:hAnsi="Aptos" w:eastAsia="Aptos"/>
          <w:b/>
          <w:bCs/>
          <w:color w:val="5232DB"/>
          <w:sz w:val="19"/>
        </w:rPr>
        <w:t xml:space="preserve">RETENU</w:t>
      </w:r>
      <w:r>
        <w:rPr>
          <w:rFonts w:ascii="Aptos" w:hAnsi="Aptos" w:eastAsia="Aptos"/>
          <w:b/>
          <w:color w:val="5232DB"/>
          <w:sz w:val="19"/>
        </w:rPr>
        <w:t xml:space="preserve">.</w:t>
      </w:r>
    </w:p>
    <w:p>
      <w:pPr>
        <w:pStyle w:val="BodyText"/>
        <w:keepNext/>
      </w:pPr>
      <w:r>
        <w:t xml:space="preserve">La distinction :</w:t>
      </w:r>
    </w:p>
    <w:p>
      <w:pPr>
        <w:pStyle w:val="BodyText"/>
      </w:pPr>
      <m:oMathPara>
        <m:oMathParaPr>
          <m:jc m:val="center"/>
        </m:oMathParaPr>
        <m:oMath>
          <m:borderBox>
            <m:e>
              <m:r>
                <m:t>I</m:t>
              </m:r>
              <m:r>
                <m:t>d</m:t>
              </m:r>
              <m:r>
                <m:t>e</m:t>
              </m:r>
              <m:r>
                <m:t>n</m:t>
              </m:r>
              <m:r>
                <m:t>t</m:t>
              </m:r>
              <m:r>
                <m:t>i</m:t>
              </m:r>
              <m:r>
                <m:t>t</m:t>
              </m:r>
              <m:r>
                <m:t>é</m:t>
              </m:r>
              <m:r>
                <m:rPr>
                  <m:sty m:val="p"/>
                </m:rPr>
                <m:t>≠</m:t>
              </m:r>
              <m:r>
                <m:t>C</m:t>
              </m:r>
              <m:r>
                <m:t>o</m:t>
              </m:r>
              <m:r>
                <m:t>n</m:t>
              </m:r>
              <m:r>
                <m:t>f</m:t>
              </m:r>
              <m:r>
                <m:t>i</m:t>
              </m:r>
              <m:r>
                <m:t>g</m:t>
              </m:r>
              <m:r>
                <m:t>u</m:t>
              </m:r>
              <m:r>
                <m:t>r</m:t>
              </m:r>
              <m:r>
                <m:t>a</m:t>
              </m:r>
              <m:r>
                <m:t>t</m:t>
              </m:r>
              <m:r>
                <m:t>i</m:t>
              </m:r>
              <m:r>
                <m:t>o</m:t>
              </m:r>
              <m:r>
                <m:t>n</m:t>
              </m:r>
              <m:r>
                <m:rPr>
                  <m:sty m:val="p"/>
                </m:rPr>
                <m:t>≠</m:t>
              </m:r>
              <m:r>
                <m:t>É</m:t>
              </m:r>
              <m:r>
                <m:t>t</m:t>
              </m:r>
              <m:r>
                <m:t>a</m:t>
              </m:r>
              <m:r>
                <m:t>t</m:t>
              </m:r>
              <m:r>
                <m:t>I</m:t>
              </m:r>
              <m:r>
                <m:t>n</m:t>
              </m:r>
              <m:r>
                <m:t>t</m:t>
              </m:r>
              <m:r>
                <m:t>e</m:t>
              </m:r>
              <m:r>
                <m:t>r</m:t>
              </m:r>
              <m:r>
                <m:t>n</m:t>
              </m:r>
              <m:r>
                <m:t>e</m:t>
              </m:r>
            </m:e>
          </m:borderBox>
        </m:oMath>
      </m:oMathPara>
    </w:p>
    <w:p>
      <w:pPr>
        <w:pStyle w:val="FirstParagraph"/>
      </w:pPr>
      <w:r>
        <w:t xml:space="preserve">est</w:t>
      </w:r>
      <w:r>
        <w:t xml:space="preserve"> </w:t>
      </w:r>
      <w:r>
        <w:rPr>
          <w:b/>
          <w:bCs/>
        </w:rPr>
        <w:t xml:space="preserve">RETENU</w:t>
      </w:r>
      <w:r>
        <w:t xml:space="preserve">.</w:t>
      </w:r>
    </w:p>
    <w:bookmarkEnd w:id="52"/>
    <w:bookmarkStart w:id="53" w:name="localisation-dun-corps"/>
    <w:p>
      <w:pPr>
        <w:pStyle w:val="Heading2"/>
      </w:pPr>
      <w:r>
        <w:t xml:space="preserve">7.2. Localisation d’un Corps</w:t>
      </w:r>
    </w:p>
    <w:p>
      <w:pPr>
        <w:pStyle w:val="FirstParagraph"/>
        <w:keepNext/>
      </w:pPr>
      <w:r>
        <w:t xml:space="preserve">La localisation est une composante possible de la configuration :</w:t>
      </w:r>
    </w:p>
    <w:p>
      <w:pPr>
        <w:pStyle w:val="BodyText"/>
      </w:pPr>
      <m:oMathPara>
        <m:oMathParaPr>
          <m:jc m:val="center"/>
        </m:oMathParaPr>
        <m:oMath>
          <m:r>
            <m:t>L</m:t>
          </m:r>
          <m:r>
            <m:t>o</m:t>
          </m:r>
          <m:sSub>
            <m:e>
              <m:r>
                <m:t>c</m:t>
              </m:r>
            </m:e>
            <m:sub>
              <m:r>
                <m:t>B</m:t>
              </m:r>
            </m:sub>
          </m:sSub>
          <m:r>
            <m:rPr>
              <m:sty m:val="p"/>
            </m:rPr>
            <m:t>:</m:t>
          </m:r>
          <m:sSub>
            <m:e>
              <m:r>
                <m:t>Q</m:t>
              </m:r>
            </m:e>
            <m:sub>
              <m:r>
                <m:t>B</m:t>
              </m:r>
            </m:sub>
          </m:sSub>
          <m:r>
            <m:rPr>
              <m:sty m:val="p"/>
            </m:rPr>
            <m:t>⇀</m:t>
          </m:r>
          <m:sSub>
            <m:e>
              <m:r>
                <m:rPr>
                  <m:sty m:val="p"/>
                  <m:scr m:val="script"/>
                </m:rPr>
                <m:t>P</m:t>
              </m:r>
            </m:e>
            <m:sub>
              <m:r>
                <m:t>M</m:t>
              </m:r>
            </m:sub>
          </m:sSub>
          <m:r>
            <m:rPr>
              <m:sty m:val="p"/>
            </m:rPr>
            <m:t>.</m:t>
          </m:r>
        </m:oMath>
      </m:oMathPara>
    </w:p>
    <w:p>
      <w:pPr>
        <w:pStyle w:val="FirstParagraph"/>
        <w:keepNext/>
      </w:pPr>
      <w:r>
        <w:t xml:space="preserve">Lorsqu’elle est définie :</w:t>
      </w:r>
    </w:p>
    <w:p>
      <w:pPr>
        <w:pStyle w:val="BodyText"/>
      </w:pPr>
      <m:oMathPara>
        <m:oMathParaPr>
          <m:jc m:val="center"/>
        </m:oMathParaPr>
        <m:oMath>
          <m:sSub>
            <m:e>
              <m:r>
                <m:t>p</m:t>
              </m:r>
            </m:e>
            <m:sub>
              <m:r>
                <m:t>B</m:t>
              </m:r>
            </m:sub>
          </m:sSub>
          <m:d>
            <m:dPr>
              <m:begChr m:val="("/>
              <m:endChr m:val=")"/>
              <m:sepChr m:val=""/>
              <m:grow/>
            </m:dPr>
            <m:e>
              <m:r>
                <m:t>t</m:t>
              </m:r>
            </m:e>
          </m:d>
          <m:r>
            <m:rPr>
              <m:sty m:val="p"/>
            </m:rPr>
            <m:t>=</m:t>
          </m:r>
          <m:r>
            <m:t>L</m:t>
          </m:r>
          <m:r>
            <m:t>o</m:t>
          </m:r>
          <m:sSub>
            <m:e>
              <m:r>
                <m:t>c</m:t>
              </m:r>
            </m:e>
            <m:sub>
              <m:r>
                <m:t>B</m:t>
              </m:r>
            </m:sub>
          </m:sSub>
          <m:d>
            <m:dPr>
              <m:begChr m:val="("/>
              <m:endChr m:val=")"/>
              <m:sepChr m:val=""/>
              <m:grow/>
            </m:dPr>
            <m:e>
              <m:sSub>
                <m:e>
                  <m:r>
                    <m:t>Q</m:t>
                  </m:r>
                </m:e>
                <m:sub>
                  <m:r>
                    <m:t>B</m:t>
                  </m:r>
                </m:sub>
              </m:sSub>
              <m:d>
                <m:dPr>
                  <m:begChr m:val="("/>
                  <m:endChr m:val=")"/>
                  <m:sepChr m:val=""/>
                  <m:grow/>
                </m:dPr>
                <m:e>
                  <m:r>
                    <m:t>t</m:t>
                  </m:r>
                </m:e>
              </m:d>
            </m:e>
          </m:d>
          <m:r>
            <m:rPr>
              <m:sty m:val="p"/>
            </m:rPr>
            <m:t>.</m:t>
          </m:r>
        </m:oMath>
      </m:oMathPara>
    </w:p>
    <w:p>
      <w:pPr>
        <w:pStyle w:val="FirstParagraph"/>
      </w:pPr>
      <w:r>
        <w:t xml:space="preserve">Un Corps n’est pas réduit à son PointMakolo.</w:t>
      </w:r>
    </w:p>
    <w:p>
      <w:pPr>
        <w:pStyle w:val="BodyText"/>
      </w:pPr>
      <m:oMathPara>
        <m:oMathParaPr>
          <m:jc m:val="center"/>
        </m:oMathParaPr>
        <m:oMath>
          <m:borderBox>
            <m:e>
              <m:r>
                <m:t>B</m:t>
              </m:r>
              <m:r>
                <m:rPr>
                  <m:sty m:val="p"/>
                </m:rPr>
                <m:t>≠</m:t>
              </m:r>
              <m:sSub>
                <m:e>
                  <m:r>
                    <m:t>p</m:t>
                  </m:r>
                </m:e>
                <m:sub>
                  <m:r>
                    <m:t>B</m:t>
                  </m:r>
                </m:sub>
              </m:sSub>
            </m:e>
          </m:borderBox>
        </m:oMath>
      </m:oMathPara>
    </w:p>
    <w:p>
      <w:pPr>
        <w:pStyle w:val="MakoloCallout"/>
      </w:pPr>
      <w:r>
        <w:rPr>
          <w:rFonts w:ascii="Aptos" w:hAnsi="Aptos" w:eastAsia="Aptos"/>
          <w:b/>
          <w:bCs/>
          <w:color w:val="5232DB"/>
          <w:sz w:val="19"/>
        </w:rPr>
        <w:t xml:space="preserve">RETENU</w:t>
      </w:r>
      <w:r>
        <w:rPr>
          <w:rFonts w:ascii="Aptos" w:hAnsi="Aptos" w:eastAsia="Aptos"/>
          <w:b/>
          <w:color w:val="5232DB"/>
          <w:sz w:val="19"/>
        </w:rPr>
        <w:t xml:space="preserve">.</w:t>
      </w:r>
    </w:p>
    <w:bookmarkEnd w:id="53"/>
    <w:bookmarkStart w:id="54" w:name="correspondances-sectorielles"/>
    <w:p>
      <w:pPr>
        <w:pStyle w:val="Heading2"/>
      </w:pPr>
      <w:r>
        <w:t xml:space="preserve">7.3. Correspondances sectorielles</w:t>
      </w:r>
    </w:p>
    <w:p>
      <w:pPr>
        <w:pStyle w:val="FirstParagraph"/>
        <w:keepNext/>
      </w:pPr>
      <w:r>
        <w:t xml:space="preserve">Dans le secteur actuellement étudié :</w:t>
      </w:r>
    </w:p>
    <w:p>
      <w:pPr>
        <w:pStyle w:val="BodyText"/>
      </w:pPr>
      <m:oMathPara>
        <m:oMathParaPr>
          <m:jc m:val="center"/>
        </m:oMathParaPr>
        <m:oMath>
          <m:r>
            <m:t>P</m:t>
          </m:r>
          <m:r>
            <m:t>r</m:t>
          </m:r>
          <m:r>
            <m:t>o</m:t>
          </m:r>
          <m:r>
            <m:t>f</m:t>
          </m:r>
          <m:r>
            <m:t>i</m:t>
          </m:r>
          <m:r>
            <m:t>l</m:t>
          </m:r>
          <m:r>
            <m:t>e</m:t>
          </m:r>
          <m:r>
            <m:rPr>
              <m:sty m:val="p"/>
            </m:rPr>
            <m:t>↔</m:t>
          </m:r>
          <m:r>
            <m:t>V</m:t>
          </m:r>
          <m:r>
            <m:t>é</m:t>
          </m:r>
          <m:r>
            <m:t>h</m:t>
          </m:r>
          <m:r>
            <m:t>i</m:t>
          </m:r>
          <m:r>
            <m:t>c</m:t>
          </m:r>
          <m:r>
            <m:t>u</m:t>
          </m:r>
          <m:r>
            <m:t>l</m:t>
          </m:r>
          <m:r>
            <m:t>e</m:t>
          </m:r>
          <m:r>
            <m:t>M</m:t>
          </m:r>
          <m:r>
            <m:t>a</m:t>
          </m:r>
          <m:r>
            <m:t>k</m:t>
          </m:r>
          <m:r>
            <m:t>o</m:t>
          </m:r>
          <m:r>
            <m:t>l</m:t>
          </m:r>
          <m:r>
            <m:t>o</m:t>
          </m:r>
          <m:r>
            <m:rPr>
              <m:sty m:val="p"/>
            </m:rPr>
            <m:t>,</m:t>
          </m:r>
        </m:oMath>
      </m:oMathPara>
    </w:p>
    <w:p>
      <w:pPr>
        <w:pStyle w:val="FirstParagraph"/>
      </w:pPr>
      <m:oMathPara>
        <m:oMathParaPr>
          <m:jc m:val="center"/>
        </m:oMathParaPr>
        <m:oMath>
          <m:r>
            <m:t>O</m:t>
          </m:r>
          <m:r>
            <m:t>c</m:t>
          </m:r>
          <m:r>
            <m:t>c</m:t>
          </m:r>
          <m:r>
            <m:t>u</m:t>
          </m:r>
          <m:r>
            <m:t>r</m:t>
          </m:r>
          <m:r>
            <m:t>r</m:t>
          </m:r>
          <m:r>
            <m:t>e</m:t>
          </m:r>
          <m:r>
            <m:t>n</m:t>
          </m:r>
          <m:r>
            <m:t>c</m:t>
          </m:r>
          <m:r>
            <m:t>e</m:t>
          </m:r>
          <m:r>
            <m:rPr>
              <m:sty m:val="p"/>
            </m:rPr>
            <m:t>↔</m:t>
          </m:r>
          <m:r>
            <m:t>P</m:t>
          </m:r>
          <m:r>
            <m:t>l</m:t>
          </m:r>
          <m:r>
            <m:t>a</m:t>
          </m:r>
          <m:r>
            <m:t>n</m:t>
          </m:r>
          <m:r>
            <m:t>è</m:t>
          </m:r>
          <m:r>
            <m:t>t</m:t>
          </m:r>
          <m:r>
            <m:t>e</m:t>
          </m:r>
          <m:r>
            <m:t>M</m:t>
          </m:r>
          <m:r>
            <m:t>a</m:t>
          </m:r>
          <m:r>
            <m:t>k</m:t>
          </m:r>
          <m:r>
            <m:t>o</m:t>
          </m:r>
          <m:r>
            <m:t>l</m:t>
          </m:r>
          <m:r>
            <m:t>o</m:t>
          </m:r>
          <m:r>
            <m:rPr>
              <m:sty m:val="p"/>
            </m:rPr>
            <m:t>,</m:t>
          </m:r>
        </m:oMath>
      </m:oMathPara>
    </w:p>
    <w:p>
      <w:pPr>
        <w:pStyle w:val="FirstParagraph"/>
      </w:pPr>
      <m:oMathPara>
        <m:oMathParaPr>
          <m:jc m:val="center"/>
        </m:oMathParaPr>
        <m:oMath>
          <m:r>
            <m:t>A</m:t>
          </m:r>
          <m:r>
            <m:t>c</m:t>
          </m:r>
          <m:r>
            <m:t>t</m:t>
          </m:r>
          <m:r>
            <m:t>i</m:t>
          </m:r>
          <m:r>
            <m:t>v</m:t>
          </m:r>
          <m:r>
            <m:t>i</m:t>
          </m:r>
          <m:r>
            <m:t>t</m:t>
          </m:r>
          <m:r>
            <m:t>y</m:t>
          </m:r>
          <m:r>
            <m:rPr>
              <m:sty m:val="p"/>
            </m:rPr>
            <m:t>↔</m:t>
          </m:r>
          <m:r>
            <m:t>S</m:t>
          </m:r>
          <m:r>
            <m:t>y</m:t>
          </m:r>
          <m:r>
            <m:t>s</m:t>
          </m:r>
          <m:r>
            <m:t>t</m:t>
          </m:r>
          <m:r>
            <m:t>è</m:t>
          </m:r>
          <m:r>
            <m:t>m</m:t>
          </m:r>
          <m:r>
            <m:t>e</m:t>
          </m:r>
          <m:r>
            <m:t>M</m:t>
          </m:r>
          <m:r>
            <m:t>a</m:t>
          </m:r>
          <m:r>
            <m:t>k</m:t>
          </m:r>
          <m:r>
            <m:t>o</m:t>
          </m:r>
          <m:r>
            <m:t>l</m:t>
          </m:r>
          <m:r>
            <m:t>o</m:t>
          </m:r>
          <m:r>
            <m:rPr>
              <m:sty m:val="p"/>
            </m:rPr>
            <m:t>.</m:t>
          </m:r>
        </m:oMath>
      </m:oMathPara>
    </w:p>
    <w:p>
      <w:pPr>
        <w:pStyle w:val="FirstParagraph"/>
      </w:pPr>
      <w:r>
        <w:t xml:space="preserve">Ces correspondances sont</w:t>
      </w:r>
      <w:r>
        <w:t xml:space="preserve"> </w:t>
      </w:r>
      <w:r>
        <w:rPr>
          <w:b/>
          <w:bCs/>
        </w:rPr>
        <w:t xml:space="preserve">RETENU</w:t>
      </w:r>
      <w:r>
        <w:t xml:space="preserve"> </w:t>
      </w:r>
      <w:r>
        <w:t xml:space="preserve">comme vocabulaire sectoriel de l’Univers.</w:t>
      </w:r>
    </w:p>
    <w:p>
      <w:pPr>
        <w:pStyle w:val="BodyText"/>
      </w:pPr>
      <w:r>
        <w:t xml:space="preserve">Elles n’importent aucune gravitation, masse, rigidité ou mécanique planétaire par analogie nominale.</w:t>
      </w:r>
    </w:p>
    <w:bookmarkEnd w:id="54"/>
    <w:bookmarkEnd w:id="55"/>
    <w:bookmarkStart w:id="58" w:name="relations-et-destination"/>
    <w:p>
      <w:pPr>
        <w:pStyle w:val="Heading1"/>
      </w:pPr>
      <w:r>
        <w:t xml:space="preserve">8. Relations et destination</w:t>
      </w:r>
    </w:p>
    <w:bookmarkStart w:id="56" w:name="relations-physiques"/>
    <w:p>
      <w:pPr>
        <w:pStyle w:val="Heading2"/>
      </w:pPr>
      <w:r>
        <w:t xml:space="preserve">8.1. Relations physiques</w:t>
      </w:r>
    </w:p>
    <w:p>
      <w:pPr>
        <w:pStyle w:val="FirstParagraph"/>
        <w:keepNext/>
      </w:pPr>
      <w:r>
        <w:t xml:space="preserve">Une relation peut porter sur plusieurs Corps :</w:t>
      </w:r>
    </w:p>
    <w:p>
      <w:pPr>
        <w:pStyle w:val="BodyText"/>
      </w:pPr>
      <m:oMathPara>
        <m:oMathParaPr>
          <m:jc m:val="center"/>
        </m:oMathParaPr>
        <m:oMath>
          <m:r>
            <m:t>R</m:t>
          </m:r>
          <m:d>
            <m:dPr>
              <m:begChr m:val="("/>
              <m:endChr m:val=")"/>
              <m:sepChr m:val=""/>
              <m:grow/>
            </m:dPr>
            <m:e>
              <m:sSub>
                <m:e>
                  <m:r>
                    <m:t>B</m:t>
                  </m:r>
                </m:e>
                <m:sub>
                  <m:r>
                    <m:t>1</m:t>
                  </m:r>
                </m:sub>
              </m:sSub>
              <m:r>
                <m:rPr>
                  <m:sty m:val="p"/>
                </m:rPr>
                <m:t>,</m:t>
              </m:r>
              <m:r>
                <m:rPr>
                  <m:sty m:val="p"/>
                </m:rPr>
                <m:t>…</m:t>
              </m:r>
              <m:r>
                <m:rPr>
                  <m:sty m:val="p"/>
                </m:rPr>
                <m:t>,</m:t>
              </m:r>
              <m:sSub>
                <m:e>
                  <m:r>
                    <m:t>B</m:t>
                  </m:r>
                </m:e>
                <m:sub>
                  <m:r>
                    <m:t>n</m:t>
                  </m:r>
                </m:sub>
              </m:sSub>
            </m:e>
          </m:d>
          <m:r>
            <m:rPr>
              <m:sty m:val="p"/>
            </m:rPr>
            <m:t>.</m:t>
          </m:r>
        </m:oMath>
      </m:oMathPara>
    </w:p>
    <w:p>
      <w:pPr>
        <w:pStyle w:val="FirstParagraph"/>
      </w:pPr>
      <w:r>
        <w:t xml:space="preserve">Elle peut avoir un état propre lorsque le secteur l’exige.</w:t>
      </w:r>
    </w:p>
    <w:p>
      <w:pPr>
        <w:pStyle w:val="MakoloCallout"/>
      </w:pPr>
      <w:r>
        <w:rPr>
          <w:rFonts w:ascii="Aptos" w:hAnsi="Aptos" w:eastAsia="Aptos"/>
          <w:b/>
          <w:bCs/>
          <w:color w:val="5232DB"/>
          <w:sz w:val="19"/>
        </w:rPr>
        <w:t xml:space="preserve">RETENU</w:t>
      </w:r>
      <w:r>
        <w:rPr>
          <w:rFonts w:ascii="Aptos" w:hAnsi="Aptos" w:eastAsia="Aptos"/>
          <w:b/>
          <w:color w:val="5232DB"/>
          <w:sz w:val="19"/>
        </w:rPr>
        <w:t xml:space="preserve">.</w:t>
      </w:r>
    </w:p>
    <w:p>
      <w:pPr>
        <w:pStyle w:val="BodyText"/>
      </w:pPr>
      <w:r>
        <w:t xml:space="preserve">Une relation n’est pas automatiquement une force, une distance ou un champ.</w:t>
      </w:r>
    </w:p>
    <w:bookmarkEnd w:id="56"/>
    <w:bookmarkStart w:id="57" w:name="destination-active"/>
    <w:p>
      <w:pPr>
        <w:pStyle w:val="Heading2"/>
      </w:pPr>
      <w:r>
        <w:t xml:space="preserve">8.2. Destination active</w:t>
      </w:r>
    </w:p>
    <w:p>
      <w:pPr>
        <w:pStyle w:val="FirstParagraph"/>
        <w:keepNext/>
      </w:pPr>
      <w:r>
        <w:t xml:space="preserve">La destination active est une relation :</w:t>
      </w:r>
    </w:p>
    <w:p>
      <w:pPr>
        <w:pStyle w:val="BodyText"/>
      </w:pPr>
      <m:oMathPara>
        <m:oMathParaPr>
          <m:jc m:val="center"/>
        </m:oMathParaPr>
        <m:oMath>
          <m:sSub>
            <m:e>
              <m:r>
                <m:t>R</m:t>
              </m:r>
            </m:e>
            <m:sub>
              <m:r>
                <m:t>D</m:t>
              </m:r>
            </m:sub>
          </m:sSub>
          <m:d>
            <m:dPr>
              <m:begChr m:val="("/>
              <m:endChr m:val=")"/>
              <m:sepChr m:val=""/>
              <m:grow/>
            </m:dPr>
            <m:e>
              <m:r>
                <m:t>t</m:t>
              </m:r>
            </m:e>
          </m:d>
          <m:r>
            <m:rPr>
              <m:sty m:val="p"/>
            </m:rPr>
            <m:t>⊆</m:t>
          </m:r>
          <m:r>
            <m:rPr>
              <m:sty m:val="p"/>
              <m:scr m:val="script"/>
            </m:rPr>
            <m:t>V</m:t>
          </m:r>
          <m:r>
            <m:rPr>
              <m:sty m:val="p"/>
            </m:rPr>
            <m:t>×</m:t>
          </m:r>
          <m:r>
            <m:rPr>
              <m:sty m:val="p"/>
              <m:scr m:val="script"/>
            </m:rPr>
            <m:t>O</m:t>
          </m:r>
          <m:r>
            <m:rPr>
              <m:sty m:val="p"/>
            </m:rPr>
            <m:t>.</m:t>
          </m:r>
        </m:oMath>
      </m:oMathPara>
    </w:p>
    <w:p>
      <w:pPr>
        <w:pStyle w:val="MakoloCallout"/>
      </w:pPr>
      <w:r>
        <w:rPr>
          <w:rFonts w:ascii="Aptos" w:hAnsi="Aptos" w:eastAsia="Aptos"/>
          <w:b/>
          <w:bCs/>
          <w:color w:val="5232DB"/>
          <w:sz w:val="19"/>
        </w:rPr>
        <w:t xml:space="preserve">RETENU</w:t>
      </w:r>
      <w:r>
        <w:rPr>
          <w:rFonts w:ascii="Aptos" w:hAnsi="Aptos" w:eastAsia="Aptos"/>
          <w:b/>
          <w:color w:val="5232DB"/>
          <w:sz w:val="19"/>
        </w:rPr>
        <w:t xml:space="preserve">.</w:t>
      </w:r>
    </w:p>
    <w:p>
      <w:pPr>
        <w:pStyle w:val="BodyText"/>
        <w:keepNext/>
      </w:pPr>
      <w:r>
        <w:t xml:space="preserve">Elle satisfait :</w:t>
      </w:r>
    </w:p>
    <w:p>
      <w:pPr>
        <w:pStyle w:val="BodyText"/>
      </w:pPr>
      <m:oMathPara>
        <m:oMathParaPr>
          <m:jc m:val="center"/>
        </m:oMathParaPr>
        <m:oMath>
          <m:borderBox>
            <m:e>
              <m:r>
                <m:rPr>
                  <m:sty m:val="p"/>
                </m:rPr>
                <m:t>∀</m:t>
              </m:r>
              <m:r>
                <m:t>V</m:t>
              </m:r>
              <m:r>
                <m:rPr>
                  <m:sty m:val="p"/>
                </m:rPr>
                <m:t>,</m:t>
              </m:r>
              <m:r>
                <m:t>t</m:t>
              </m:r>
              <m:r>
                <m:rPr>
                  <m:sty m:val="p"/>
                </m:rPr>
                <m:t>,</m:t>
              </m:r>
              <m:r>
                <m:t> </m:t>
              </m:r>
              <m:d>
                <m:dPr>
                  <m:begChr m:val="|"/>
                  <m:endChr m:val="|"/>
                  <m:sepChr m:val=""/>
                  <m:grow/>
                </m:dPr>
                <m:e>
                  <m:r>
                    <m:rPr>
                      <m:sty m:val="p"/>
                    </m:rPr>
                    <m:t>{</m:t>
                  </m:r>
                  <m:r>
                    <m:t>O</m:t>
                  </m:r>
                  <m:r>
                    <m:rPr>
                      <m:sty m:val="p"/>
                    </m:rPr>
                    <m:t>:</m:t>
                  </m:r>
                  <m:d>
                    <m:dPr>
                      <m:begChr m:val="("/>
                      <m:endChr m:val=")"/>
                      <m:sepChr m:val=""/>
                      <m:grow/>
                    </m:dPr>
                    <m:e>
                      <m:r>
                        <m:t>V</m:t>
                      </m:r>
                      <m:r>
                        <m:rPr>
                          <m:sty m:val="p"/>
                        </m:rPr>
                        <m:t>,</m:t>
                      </m:r>
                      <m:r>
                        <m:t>O</m:t>
                      </m:r>
                    </m:e>
                  </m:d>
                  <m:r>
                    <m:rPr>
                      <m:sty m:val="p"/>
                    </m:rPr>
                    <m:t>∈</m:t>
                  </m:r>
                  <m:sSub>
                    <m:e>
                      <m:r>
                        <m:t>R</m:t>
                      </m:r>
                    </m:e>
                    <m:sub>
                      <m:r>
                        <m:t>D</m:t>
                      </m:r>
                    </m:sub>
                  </m:sSub>
                  <m:d>
                    <m:dPr>
                      <m:begChr m:val="("/>
                      <m:endChr m:val=")"/>
                      <m:sepChr m:val=""/>
                      <m:grow/>
                    </m:dPr>
                    <m:e>
                      <m:r>
                        <m:t>t</m:t>
                      </m:r>
                    </m:e>
                  </m:d>
                  <m:r>
                    <m:rPr>
                      <m:sty m:val="p"/>
                    </m:rPr>
                    <m:t>}</m:t>
                  </m:r>
                </m:e>
              </m:d>
              <m:r>
                <m:rPr>
                  <m:sty m:val="p"/>
                </m:rPr>
                <m:t>≤</m:t>
              </m:r>
              <m:r>
                <m:t>1</m:t>
              </m:r>
              <m:r>
                <m:rPr>
                  <m:sty m:val="p"/>
                </m:rPr>
                <m:t>.</m:t>
              </m:r>
            </m:e>
          </m:borderBox>
        </m:oMath>
      </m:oMathPara>
    </w:p>
    <w:p>
      <w:pPr>
        <w:pStyle w:val="MakoloCallout"/>
      </w:pPr>
      <w:r>
        <w:rPr>
          <w:rFonts w:ascii="Aptos" w:hAnsi="Aptos" w:eastAsia="Aptos"/>
          <w:b/>
          <w:bCs/>
          <w:color w:val="5232DB"/>
          <w:sz w:val="19"/>
        </w:rPr>
        <w:t xml:space="preserve">RETENU</w:t>
      </w:r>
      <w:r>
        <w:rPr>
          <w:rFonts w:ascii="Aptos" w:hAnsi="Aptos" w:eastAsia="Aptos"/>
          <w:b/>
          <w:color w:val="5232DB"/>
          <w:sz w:val="19"/>
        </w:rPr>
        <w:t xml:space="preserve">.</w:t>
      </w:r>
    </w:p>
    <w:p>
      <w:pPr>
        <w:pStyle w:val="BodyText"/>
        <w:keepNext/>
      </w:pPr>
      <w:r>
        <w:t xml:space="preserve">Elle est donc le graphe d’une fonction partielle :</w:t>
      </w:r>
    </w:p>
    <w:p>
      <w:pPr>
        <w:pStyle w:val="BodyText"/>
      </w:pPr>
      <m:oMathPara>
        <m:oMathParaPr>
          <m:jc m:val="center"/>
        </m:oMathParaPr>
        <m:oMath>
          <m:borderBox>
            <m:e>
              <m:sSub>
                <m:e>
                  <m:r>
                    <m:t>D</m:t>
                  </m:r>
                </m:e>
                <m:sub>
                  <m:r>
                    <m:t>t</m:t>
                  </m:r>
                </m:sub>
              </m:sSub>
              <m:r>
                <m:rPr>
                  <m:sty m:val="p"/>
                </m:rPr>
                <m:t>:</m:t>
              </m:r>
              <m:r>
                <m:rPr>
                  <m:sty m:val="p"/>
                  <m:scr m:val="script"/>
                </m:rPr>
                <m:t>V</m:t>
              </m:r>
              <m:r>
                <m:rPr>
                  <m:sty m:val="p"/>
                </m:rPr>
                <m:t>⇀</m:t>
              </m:r>
              <m:r>
                <m:rPr>
                  <m:sty m:val="p"/>
                  <m:scr m:val="script"/>
                </m:rPr>
                <m:t>O</m:t>
              </m:r>
              <m:r>
                <m:rPr>
                  <m:sty m:val="p"/>
                </m:rPr>
                <m:t>.</m:t>
              </m:r>
            </m:e>
          </m:borderBox>
        </m:oMath>
      </m:oMathPara>
    </w:p>
    <w:p>
      <w:pPr>
        <w:pStyle w:val="FirstParagraph"/>
      </w:pPr>
      <w:r>
        <w:t xml:space="preserve">Cette unicité est une</w:t>
      </w:r>
      <w:r>
        <w:t xml:space="preserve"> </w:t>
      </w:r>
      <w:r>
        <w:rPr>
          <w:b/>
          <w:bCs/>
        </w:rPr>
        <w:t xml:space="preserve">contrainte structurelle sectorielle</w:t>
      </w:r>
      <w:r>
        <w:t xml:space="preserve">.</w:t>
      </w:r>
    </w:p>
    <w:p>
      <w:pPr>
        <w:pStyle w:val="BodyText"/>
        <w:keepNext/>
      </w:pPr>
      <w:r>
        <w:t xml:space="preserve">Elle n’implique :</w:t>
      </w:r>
    </w:p>
    <w:p>
      <w:pPr>
        <w:pStyle w:val="Compact"/>
        <w:numPr>
          <w:ilvl w:val="0"/>
          <w:numId w:val="1010"/>
        </w:numPr>
      </w:pPr>
      <w:r>
        <w:t xml:space="preserve">ni attraction ;</w:t>
      </w:r>
    </w:p>
    <w:p>
      <w:pPr>
        <w:pStyle w:val="Compact"/>
        <w:numPr>
          <w:ilvl w:val="0"/>
          <w:numId w:val="1010"/>
        </w:numPr>
      </w:pPr>
      <w:r>
        <w:t xml:space="preserve">ni persistance ;</w:t>
      </w:r>
    </w:p>
    <w:p>
      <w:pPr>
        <w:pStyle w:val="Compact"/>
        <w:numPr>
          <w:ilvl w:val="0"/>
          <w:numId w:val="1010"/>
        </w:numPr>
      </w:pPr>
      <w:r>
        <w:t xml:space="preserve">ni loi de changement ;</w:t>
      </w:r>
    </w:p>
    <w:p>
      <w:pPr>
        <w:pStyle w:val="Compact"/>
        <w:numPr>
          <w:ilvl w:val="0"/>
          <w:numId w:val="1010"/>
        </w:numPr>
      </w:pPr>
      <w:r>
        <w:t xml:space="preserve">ni force.</w:t>
      </w:r>
    </w:p>
    <w:p>
      <w:pPr>
        <w:pStyle w:val="FirstParagraph"/>
        <w:keepNext/>
      </w:pPr>
      <w:r>
        <w:t xml:space="preserve">La loi gouvernant l’évolution temporelle de</w:t>
      </w:r>
      <w:r>
        <w:t xml:space="preserve"> </w:t>
      </w:r>
      <m:oMath>
        <m:sSub>
          <m:e>
            <m:r>
              <m:t>D</m:t>
            </m:r>
          </m:e>
          <m:sub>
            <m:r>
              <m:t>t</m:t>
            </m:r>
          </m:sub>
        </m:sSub>
      </m:oMath>
      <w:r>
        <w:t xml:space="preserve"> </w:t>
      </w:r>
      <w:r>
        <w:t xml:space="preserve">reste :</w:t>
      </w:r>
    </w:p>
    <w:p>
      <w:pPr>
        <w:pStyle w:val="MakoloCallout"/>
      </w:pPr>
      <w:r>
        <w:rPr>
          <w:rFonts w:ascii="Aptos" w:hAnsi="Aptos" w:eastAsia="Aptos"/>
          <w:b/>
          <w:bCs/>
          <w:color w:val="5232DB"/>
          <w:sz w:val="19"/>
        </w:rPr>
        <w:t xml:space="preserve">À DÉTERMINER</w:t>
      </w:r>
      <w:r>
        <w:rPr>
          <w:rFonts w:ascii="Aptos" w:hAnsi="Aptos" w:eastAsia="Aptos"/>
          <w:b/>
          <w:color w:val="5232DB"/>
          <w:sz w:val="19"/>
        </w:rPr>
        <w:t xml:space="preserve">.</w:t>
      </w:r>
    </w:p>
    <w:bookmarkEnd w:id="57"/>
    <w:bookmarkEnd w:id="58"/>
    <w:bookmarkStart w:id="62" w:name="cinématique-interne"/>
    <w:p>
      <w:pPr>
        <w:pStyle w:val="Heading1"/>
      </w:pPr>
      <w:r>
        <w:t xml:space="preserve">9. Cinématique interne</w:t>
      </w:r>
    </w:p>
    <w:bookmarkStart w:id="59" w:name="mouvement"/>
    <w:p>
      <w:pPr>
        <w:pStyle w:val="Heading2"/>
      </w:pPr>
      <w:r>
        <w:t xml:space="preserve">9.1. Mouvement</w:t>
      </w:r>
    </w:p>
    <w:p>
      <w:pPr>
        <w:pStyle w:val="FirstParagraph"/>
        <w:keepNext/>
      </w:pPr>
      <w:r>
        <w:t xml:space="preserve">Pour un Corps localisable :</w:t>
      </w:r>
    </w:p>
    <w:p>
      <w:pPr>
        <w:pStyle w:val="BodyText"/>
      </w:pPr>
      <m:oMathPara>
        <m:oMathParaPr>
          <m:jc m:val="center"/>
        </m:oMathParaPr>
        <m:oMath>
          <m:sSub>
            <m:e>
              <m:r>
                <m:t>γ</m:t>
              </m:r>
            </m:e>
            <m:sub>
              <m:r>
                <m:t>B</m:t>
              </m:r>
            </m:sub>
          </m:sSub>
          <m:r>
            <m:rPr>
              <m:sty m:val="p"/>
            </m:rPr>
            <m:t>:</m:t>
          </m:r>
          <m:r>
            <m:t>t</m:t>
          </m:r>
          <m:r>
            <m:rPr>
              <m:sty m:val="p"/>
            </m:rPr>
            <m:t>↦</m:t>
          </m:r>
          <m:sSub>
            <m:e>
              <m:r>
                <m:t>p</m:t>
              </m:r>
            </m:e>
            <m:sub>
              <m:r>
                <m:t>B</m:t>
              </m:r>
            </m:sub>
          </m:sSub>
          <m:d>
            <m:dPr>
              <m:begChr m:val="("/>
              <m:endChr m:val=")"/>
              <m:sepChr m:val=""/>
              <m:grow/>
            </m:dPr>
            <m:e>
              <m:r>
                <m:t>t</m:t>
              </m:r>
            </m:e>
          </m:d>
          <m:r>
            <m:rPr>
              <m:sty m:val="p"/>
            </m:rPr>
            <m:t>.</m:t>
          </m:r>
        </m:oMath>
      </m:oMathPara>
    </w:p>
    <w:p>
      <w:pPr>
        <w:pStyle w:val="FirstParagraph"/>
        <w:keepNext/>
      </w:pPr>
      <w:r>
        <w:t xml:space="preserve">Il y a déplacement positionnel lorsque :</w:t>
      </w:r>
    </w:p>
    <w:p>
      <w:pPr>
        <w:pStyle w:val="BodyText"/>
      </w:pPr>
      <m:oMathPara>
        <m:oMathParaPr>
          <m:jc m:val="center"/>
        </m:oMathParaPr>
        <m:oMath>
          <m:sSub>
            <m:e>
              <m:r>
                <m:t>p</m:t>
              </m:r>
            </m:e>
            <m:sub>
              <m:r>
                <m:t>B</m:t>
              </m:r>
            </m:sub>
          </m:sSub>
          <m:d>
            <m:dPr>
              <m:begChr m:val="("/>
              <m:endChr m:val=")"/>
              <m:sepChr m:val=""/>
              <m:grow/>
            </m:dPr>
            <m:e>
              <m:sSub>
                <m:e>
                  <m:r>
                    <m:t>t</m:t>
                  </m:r>
                </m:e>
                <m:sub>
                  <m:r>
                    <m:t>1</m:t>
                  </m:r>
                </m:sub>
              </m:sSub>
            </m:e>
          </m:d>
          <m:r>
            <m:rPr>
              <m:sty m:val="p"/>
            </m:rPr>
            <m:t>≠</m:t>
          </m:r>
          <m:sSub>
            <m:e>
              <m:r>
                <m:t>p</m:t>
              </m:r>
            </m:e>
            <m:sub>
              <m:r>
                <m:t>B</m:t>
              </m:r>
            </m:sub>
          </m:sSub>
          <m:d>
            <m:dPr>
              <m:begChr m:val="("/>
              <m:endChr m:val=")"/>
              <m:sepChr m:val=""/>
              <m:grow/>
            </m:dPr>
            <m:e>
              <m:sSub>
                <m:e>
                  <m:r>
                    <m:t>t</m:t>
                  </m:r>
                </m:e>
                <m:sub>
                  <m:r>
                    <m:t>2</m:t>
                  </m:r>
                </m:sub>
              </m:sSub>
            </m:e>
          </m:d>
          <m:r>
            <m:rPr>
              <m:sty m:val="p"/>
            </m:rPr>
            <m:t>.</m:t>
          </m:r>
        </m:oMath>
      </m:oMathPara>
    </w:p>
    <w:p>
      <w:pPr>
        <w:pStyle w:val="FirstParagraph"/>
        <w:keepNext/>
      </w:pPr>
      <w:r>
        <w:t xml:space="preserve">Dans le secteur complet :</w:t>
      </w:r>
    </w:p>
    <w:p>
      <w:pPr>
        <w:pStyle w:val="BodyText"/>
      </w:pPr>
      <m:oMathPara>
        <m:oMathParaPr>
          <m:jc m:val="center"/>
        </m:oMathParaPr>
        <m:oMath>
          <m:r>
            <m:t>Δ</m:t>
          </m:r>
          <m:sSub>
            <m:e>
              <m:r>
                <m:t>p</m:t>
              </m:r>
            </m:e>
            <m:sub>
              <m:r>
                <m:t>B</m:t>
              </m:r>
            </m:sub>
          </m:sSub>
          <m:r>
            <m:rPr>
              <m:sty m:val="p"/>
            </m:rPr>
            <m:t>=</m:t>
          </m:r>
          <m:d>
            <m:dPr>
              <m:begChr m:val="("/>
              <m:endChr m:val=")"/>
              <m:sepChr m:val=""/>
              <m:grow/>
            </m:dPr>
            <m:e>
              <m:r>
                <m:t>Δ</m:t>
              </m:r>
              <m:sSub>
                <m:e>
                  <m:r>
                    <m:t>g</m:t>
                  </m:r>
                </m:e>
                <m:sub>
                  <m:r>
                    <m:t>B</m:t>
                  </m:r>
                </m:sub>
              </m:sSub>
              <m:r>
                <m:rPr>
                  <m:sty m:val="p"/>
                </m:rPr>
                <m:t>,</m:t>
              </m:r>
              <m:r>
                <m:t>Δ</m:t>
              </m:r>
              <m:sSub>
                <m:e>
                  <m:r>
                    <m:t>i</m:t>
                  </m:r>
                </m:e>
                <m:sub>
                  <m:r>
                    <m:t>B</m:t>
                  </m:r>
                </m:sub>
              </m:sSub>
            </m:e>
          </m:d>
          <m:r>
            <m:rPr>
              <m:sty m:val="p"/>
            </m:rPr>
            <m:t>.</m:t>
          </m:r>
        </m:oMath>
      </m:oMathPara>
    </w:p>
    <w:p>
      <w:pPr>
        <w:pStyle w:val="MakoloCallout"/>
      </w:pPr>
      <w:r>
        <w:rPr>
          <w:rFonts w:ascii="Aptos" w:hAnsi="Aptos" w:eastAsia="Aptos"/>
          <w:b/>
          <w:bCs/>
          <w:color w:val="5232DB"/>
          <w:sz w:val="19"/>
        </w:rPr>
        <w:t xml:space="preserve">RETENU</w:t>
      </w:r>
      <w:r>
        <w:rPr>
          <w:rFonts w:ascii="Aptos" w:hAnsi="Aptos" w:eastAsia="Aptos"/>
          <w:b/>
          <w:color w:val="5232DB"/>
          <w:sz w:val="19"/>
        </w:rPr>
        <w:t xml:space="preserve">.</w:t>
      </w:r>
    </w:p>
    <w:p>
      <w:pPr>
        <w:pStyle w:val="BodyText"/>
      </w:pPr>
      <w:r>
        <w:t xml:space="preserve">Le changement de</w:t>
      </w:r>
      <w:r>
        <w:t xml:space="preserve"> </w:t>
      </w:r>
      <m:oMath>
        <m:sSub>
          <m:e>
            <m:r>
              <m:t>σ</m:t>
            </m:r>
          </m:e>
          <m:sub>
            <m:r>
              <m:t>B</m:t>
            </m:r>
          </m:sub>
        </m:sSub>
      </m:oMath>
      <w:r>
        <w:t xml:space="preserve"> </w:t>
      </w:r>
      <w:r>
        <w:t xml:space="preserve">n’est pas nécessairement un déplacement.</w:t>
      </w:r>
    </w:p>
    <w:p>
      <w:pPr>
        <w:pStyle w:val="MakoloCallout"/>
      </w:pPr>
      <w:r>
        <w:rPr>
          <w:rFonts w:ascii="Aptos" w:hAnsi="Aptos" w:eastAsia="Aptos"/>
          <w:b/>
          <w:bCs/>
          <w:color w:val="5232DB"/>
          <w:sz w:val="19"/>
        </w:rPr>
        <w:t xml:space="preserve">RETENU</w:t>
      </w:r>
      <w:r>
        <w:rPr>
          <w:rFonts w:ascii="Aptos" w:hAnsi="Aptos" w:eastAsia="Aptos"/>
          <w:b/>
          <w:color w:val="5232DB"/>
          <w:sz w:val="19"/>
        </w:rPr>
        <w:t xml:space="preserve">.</w:t>
      </w:r>
    </w:p>
    <w:bookmarkEnd w:id="59"/>
    <w:bookmarkStart w:id="60" w:name="vitesse-et-accélération-conditionnelles"/>
    <w:p>
      <w:pPr>
        <w:pStyle w:val="Heading2"/>
      </w:pPr>
      <w:r>
        <w:t xml:space="preserve">9.2. Vitesse et accélération conditionnelles</w:t>
      </w:r>
    </w:p>
    <w:p>
      <w:pPr>
        <w:pStyle w:val="FirstParagraph"/>
        <w:keepNext/>
      </w:pPr>
      <w:r>
        <w:t xml:space="preserve">Dans un secteur où :</w:t>
      </w:r>
    </w:p>
    <w:p>
      <w:pPr>
        <w:pStyle w:val="Compact"/>
        <w:numPr>
          <w:ilvl w:val="0"/>
          <w:numId w:val="1011"/>
        </w:numPr>
      </w:pPr>
      <w:r>
        <w:t xml:space="preserve">le temps est paramétré par un réel ;</w:t>
      </w:r>
    </w:p>
    <w:p>
      <w:pPr>
        <w:pStyle w:val="Compact"/>
        <w:numPr>
          <w:ilvl w:val="0"/>
          <w:numId w:val="1011"/>
        </w:numPr>
      </w:pPr>
      <m:oMath>
        <m:sSub>
          <m:e>
            <m:r>
              <m:t>p</m:t>
            </m:r>
          </m:e>
          <m:sub>
            <m:r>
              <m:t>B</m:t>
            </m:r>
          </m:sub>
        </m:sSub>
        <m:d>
          <m:dPr>
            <m:begChr m:val="("/>
            <m:endChr m:val=")"/>
            <m:sepChr m:val=""/>
            <m:grow/>
          </m:dPr>
          <m:e>
            <m:r>
              <m:t>t</m:t>
            </m:r>
          </m:e>
        </m:d>
      </m:oMath>
      <w:r>
        <w:t xml:space="preserve"> </w:t>
      </w:r>
      <w:r>
        <w:t xml:space="preserve">est différentiable ;</w:t>
      </w:r>
    </w:p>
    <w:p>
      <w:pPr>
        <w:pStyle w:val="FirstParagraph"/>
        <w:keepNext/>
      </w:pPr>
      <w:r>
        <w:t xml:space="preserve">on définit :</w:t>
      </w:r>
    </w:p>
    <w:p>
      <w:pPr>
        <w:pStyle w:val="BodyText"/>
      </w:pPr>
      <m:oMathPara>
        <m:oMathParaPr>
          <m:jc m:val="center"/>
        </m:oMathParaPr>
        <m:oMath>
          <m:borderBox>
            <m:e>
              <m:sSub>
                <m:e>
                  <m:r>
                    <m:rPr>
                      <m:sty m:val="b"/>
                    </m:rPr>
                    <m:t>v</m:t>
                  </m:r>
                </m:e>
                <m:sub>
                  <m:r>
                    <m:t>B</m:t>
                  </m:r>
                </m:sub>
              </m:sSub>
              <m:d>
                <m:dPr>
                  <m:begChr m:val="("/>
                  <m:endChr m:val=")"/>
                  <m:sepChr m:val=""/>
                  <m:grow/>
                </m:dPr>
                <m:e>
                  <m:r>
                    <m:t>t</m:t>
                  </m:r>
                </m:e>
              </m:d>
              <m:r>
                <m:rPr>
                  <m:sty m:val="p"/>
                </m:rPr>
                <m:t>=</m:t>
              </m:r>
              <m:sSub>
                <m:e>
                  <m:acc>
                    <m:accPr>
                      <m:chr m:val="̇"/>
                    </m:accPr>
                    <m:e>
                      <m:r>
                        <m:t>p</m:t>
                      </m:r>
                    </m:e>
                  </m:acc>
                </m:e>
                <m:sub>
                  <m:r>
                    <m:t>B</m:t>
                  </m:r>
                </m:sub>
              </m:sSub>
              <m:d>
                <m:dPr>
                  <m:begChr m:val="("/>
                  <m:endChr m:val=")"/>
                  <m:sepChr m:val=""/>
                  <m:grow/>
                </m:dPr>
                <m:e>
                  <m:r>
                    <m:t>t</m:t>
                  </m:r>
                </m:e>
              </m:d>
              <m:r>
                <m:rPr>
                  <m:sty m:val="p"/>
                </m:rPr>
                <m:t>=</m:t>
              </m:r>
              <m:d>
                <m:dPr>
                  <m:begChr m:val="("/>
                  <m:endChr m:val=")"/>
                  <m:sepChr m:val=""/>
                  <m:grow/>
                </m:dPr>
                <m:e>
                  <m:sSub>
                    <m:e>
                      <m:acc>
                        <m:accPr>
                          <m:chr m:val="̇"/>
                        </m:accPr>
                        <m:e>
                          <m:r>
                            <m:t>g</m:t>
                          </m:r>
                        </m:e>
                      </m:acc>
                    </m:e>
                    <m:sub>
                      <m:r>
                        <m:t>B</m:t>
                      </m:r>
                    </m:sub>
                  </m:sSub>
                  <m:r>
                    <m:rPr>
                      <m:sty m:val="p"/>
                    </m:rPr>
                    <m:t>,</m:t>
                  </m:r>
                  <m:sSub>
                    <m:e>
                      <m:acc>
                        <m:accPr>
                          <m:chr m:val="̇"/>
                        </m:accPr>
                        <m:e>
                          <m:r>
                            <m:t>i</m:t>
                          </m:r>
                        </m:e>
                      </m:acc>
                    </m:e>
                    <m:sub>
                      <m:r>
                        <m:t>B</m:t>
                      </m:r>
                    </m:sub>
                  </m:sSub>
                </m:e>
              </m:d>
            </m:e>
          </m:borderBox>
        </m:oMath>
      </m:oMathPara>
    </w:p>
    <w:p>
      <w:pPr>
        <w:pStyle w:val="FirstParagraph"/>
        <w:keepNext/>
      </w:pPr>
      <w:r>
        <w:t xml:space="preserve">et :</w:t>
      </w:r>
    </w:p>
    <w:p>
      <w:pPr>
        <w:pStyle w:val="BodyText"/>
      </w:pPr>
      <m:oMathPara>
        <m:oMathParaPr>
          <m:jc m:val="center"/>
        </m:oMathParaPr>
        <m:oMath>
          <m:borderBox>
            <m:e>
              <m:sSub>
                <m:e>
                  <m:r>
                    <m:rPr>
                      <m:sty m:val="b"/>
                    </m:rPr>
                    <m:t>a</m:t>
                  </m:r>
                </m:e>
                <m:sub>
                  <m:r>
                    <m:t>B</m:t>
                  </m:r>
                </m:sub>
              </m:sSub>
              <m:d>
                <m:dPr>
                  <m:begChr m:val="("/>
                  <m:endChr m:val=")"/>
                  <m:sepChr m:val=""/>
                  <m:grow/>
                </m:dPr>
                <m:e>
                  <m:r>
                    <m:t>t</m:t>
                  </m:r>
                </m:e>
              </m:d>
              <m:r>
                <m:rPr>
                  <m:sty m:val="p"/>
                </m:rPr>
                <m:t>=</m:t>
              </m:r>
              <m:sSub>
                <m:e>
                  <m:acc>
                    <m:accPr>
                      <m:chr m:val="̈"/>
                    </m:accPr>
                    <m:e>
                      <m:r>
                        <m:t>p</m:t>
                      </m:r>
                    </m:e>
                  </m:acc>
                </m:e>
                <m:sub>
                  <m:r>
                    <m:t>B</m:t>
                  </m:r>
                </m:sub>
              </m:sSub>
              <m:d>
                <m:dPr>
                  <m:begChr m:val="("/>
                  <m:endChr m:val=")"/>
                  <m:sepChr m:val=""/>
                  <m:grow/>
                </m:dPr>
                <m:e>
                  <m:r>
                    <m:t>t</m:t>
                  </m:r>
                </m:e>
              </m:d>
              <m:r>
                <m:rPr>
                  <m:sty m:val="p"/>
                </m:rPr>
                <m:t>.</m:t>
              </m:r>
            </m:e>
          </m:borderBox>
        </m:oMath>
      </m:oMathPara>
    </w:p>
    <w:p>
      <w:pPr>
        <w:pStyle w:val="FirstParagraph"/>
        <w:keepNext/>
      </w:pPr>
      <w:r>
        <w:t xml:space="preserve">Sous la géométrie euclidienne :</w:t>
      </w:r>
    </w:p>
    <w:p>
      <w:pPr>
        <w:pStyle w:val="BodyText"/>
      </w:pPr>
      <m:oMathPara>
        <m:oMathParaPr>
          <m:jc m:val="center"/>
        </m:oMathParaPr>
        <m:oMath>
          <m:borderBox>
            <m:e>
              <m:sSub>
                <m:e>
                  <m:r>
                    <m:t>v</m:t>
                  </m:r>
                </m:e>
                <m:sub>
                  <m:r>
                    <m:t>B</m:t>
                  </m:r>
                </m:sub>
              </m:sSub>
              <m:d>
                <m:dPr>
                  <m:begChr m:val="("/>
                  <m:endChr m:val=")"/>
                  <m:sepChr m:val=""/>
                  <m:grow/>
                </m:dPr>
                <m:e>
                  <m:r>
                    <m:t>t</m:t>
                  </m:r>
                </m:e>
              </m:d>
              <m:r>
                <m:rPr>
                  <m:sty m:val="p"/>
                </m:rPr>
                <m:t>=</m:t>
              </m:r>
              <m:r>
                <m:rPr>
                  <m:sty m:val="p"/>
                </m:rPr>
                <m:t>∥</m:t>
              </m:r>
              <m:sSub>
                <m:e>
                  <m:r>
                    <m:rPr>
                      <m:sty m:val="b"/>
                    </m:rPr>
                    <m:t>v</m:t>
                  </m:r>
                </m:e>
                <m:sub>
                  <m:r>
                    <m:t>B</m:t>
                  </m:r>
                </m:sub>
              </m:sSub>
              <m:d>
                <m:dPr>
                  <m:begChr m:val="("/>
                  <m:endChr m:val=")"/>
                  <m:sepChr m:val=""/>
                  <m:grow/>
                </m:dPr>
                <m:e>
                  <m:r>
                    <m:t>t</m:t>
                  </m:r>
                </m:e>
              </m:d>
              <m:sSub>
                <m:e>
                  <m:r>
                    <m:rPr>
                      <m:sty m:val="p"/>
                    </m:rPr>
                    <m:t>∥</m:t>
                  </m:r>
                </m:e>
                <m:sub>
                  <m:r>
                    <m:t>M</m:t>
                  </m:r>
                </m:sub>
              </m:sSub>
              <m:r>
                <m:rPr>
                  <m:sty m:val="p"/>
                </m:rPr>
                <m:t>=</m:t>
              </m:r>
              <m:rad>
                <m:radPr>
                  <m:degHide m:val="on"/>
                </m:radPr>
                <m:deg/>
                <m:e>
                  <m:sSubSup>
                    <m:e>
                      <m:acc>
                        <m:accPr>
                          <m:chr m:val="̇"/>
                        </m:accPr>
                        <m:e>
                          <m:r>
                            <m:t>g</m:t>
                          </m:r>
                        </m:e>
                      </m:acc>
                    </m:e>
                    <m:sub>
                      <m:r>
                        <m:t>B</m:t>
                      </m:r>
                    </m:sub>
                    <m:sup>
                      <m:r>
                        <m:t>2</m:t>
                      </m:r>
                    </m:sup>
                  </m:sSubSup>
                  <m:r>
                    <m:rPr>
                      <m:sty m:val="p"/>
                    </m:rPr>
                    <m:t>+</m:t>
                  </m:r>
                  <m:sSubSup>
                    <m:e>
                      <m:acc>
                        <m:accPr>
                          <m:chr m:val="̇"/>
                        </m:accPr>
                        <m:e>
                          <m:r>
                            <m:t>i</m:t>
                          </m:r>
                        </m:e>
                      </m:acc>
                    </m:e>
                    <m:sub>
                      <m:r>
                        <m:t>B</m:t>
                      </m:r>
                    </m:sub>
                    <m:sup>
                      <m:r>
                        <m:t>2</m:t>
                      </m:r>
                    </m:sup>
                  </m:sSubSup>
                </m:e>
              </m:rad>
              <m:r>
                <m:rPr>
                  <m:sty m:val="p"/>
                </m:rPr>
                <m:t>.</m:t>
              </m:r>
            </m:e>
          </m:borderBox>
        </m:oMath>
      </m:oMathPara>
    </w:p>
    <w:p>
      <w:pPr>
        <w:pStyle w:val="FirstParagraph"/>
      </w:pPr>
      <w:r>
        <w:t xml:space="preserve">Ces définitions sont des transpositions directes de la cinématique classique.</w:t>
      </w:r>
    </w:p>
    <w:p>
      <w:pPr>
        <w:pStyle w:val="BodyText"/>
      </w:pPr>
      <w:r>
        <w:t xml:space="preserve">Elles ne constituent pas une loi dynamique.</w:t>
      </w:r>
    </w:p>
    <w:bookmarkEnd w:id="60"/>
    <w:bookmarkStart w:id="61" w:name="longueur-de-trajectoire"/>
    <w:p>
      <w:pPr>
        <w:pStyle w:val="Heading2"/>
      </w:pPr>
      <w:r>
        <w:t xml:space="preserve">9.3. Longueur de trajectoire</w:t>
      </w:r>
    </w:p>
    <w:p>
      <w:pPr>
        <w:pStyle w:val="FirstParagraph"/>
        <w:keepNext/>
      </w:pPr>
      <w:r>
        <w:t xml:space="preserve">Pour une trajectoire régulière :</w:t>
      </w:r>
    </w:p>
    <w:p>
      <w:pPr>
        <w:pStyle w:val="BodyText"/>
      </w:pPr>
      <m:oMathPara>
        <m:oMathParaPr>
          <m:jc m:val="center"/>
        </m:oMathParaPr>
        <m:oMath>
          <m:borderBox>
            <m:e>
              <m:r>
                <m:t>L</m:t>
              </m:r>
              <m:d>
                <m:dPr>
                  <m:begChr m:val="["/>
                  <m:endChr m:val="]"/>
                  <m:sepChr m:val=""/>
                  <m:grow/>
                </m:dPr>
                <m:e>
                  <m:r>
                    <m:t>γ</m:t>
                  </m:r>
                </m:e>
              </m:d>
              <m:r>
                <m:rPr>
                  <m:sty m:val="p"/>
                </m:rPr>
                <m:t>=</m:t>
              </m:r>
              <m:r>
                <m:rPr>
                  <m:sty m:val="p"/>
                </m:rPr>
                <m:t>∫</m:t>
              </m:r>
              <m:rad>
                <m:radPr>
                  <m:degHide m:val="on"/>
                </m:radPr>
                <m:deg/>
                <m:e>
                  <m:sSup>
                    <m:e>
                      <m:d>
                        <m:dPr>
                          <m:begChr m:val="("/>
                          <m:endChr m:val=")"/>
                          <m:sepChr m:val=""/>
                          <m:grow/>
                        </m:dPr>
                        <m:e>
                          <m:f>
                            <m:fPr>
                              <m:type m:val="bar"/>
                            </m:fPr>
                            <m:num>
                              <m:r>
                                <m:t>d</m:t>
                              </m:r>
                              <m:r>
                                <m:t>g</m:t>
                              </m:r>
                            </m:num>
                            <m:den>
                              <m:r>
                                <m:t>d</m:t>
                              </m:r>
                              <m:r>
                                <m:t>t</m:t>
                              </m:r>
                            </m:den>
                          </m:f>
                        </m:e>
                      </m:d>
                    </m:e>
                    <m:sup>
                      <m:r>
                        <m:t>2</m:t>
                      </m:r>
                    </m:sup>
                  </m:sSup>
                  <m:r>
                    <m:rPr>
                      <m:sty m:val="p"/>
                    </m:rPr>
                    <m:t>+</m:t>
                  </m:r>
                  <m:sSup>
                    <m:e>
                      <m:d>
                        <m:dPr>
                          <m:begChr m:val="("/>
                          <m:endChr m:val=")"/>
                          <m:sepChr m:val=""/>
                          <m:grow/>
                        </m:dPr>
                        <m:e>
                          <m:f>
                            <m:fPr>
                              <m:type m:val="bar"/>
                            </m:fPr>
                            <m:num>
                              <m:r>
                                <m:t>d</m:t>
                              </m:r>
                              <m:r>
                                <m:t>i</m:t>
                              </m:r>
                            </m:num>
                            <m:den>
                              <m:r>
                                <m:t>d</m:t>
                              </m:r>
                              <m:r>
                                <m:t>t</m:t>
                              </m:r>
                            </m:den>
                          </m:f>
                        </m:e>
                      </m:d>
                    </m:e>
                    <m:sup>
                      <m:r>
                        <m:t>2</m:t>
                      </m:r>
                    </m:sup>
                  </m:sSup>
                </m:e>
              </m:rad>
              <m:r>
                <m:t> </m:t>
              </m:r>
              <m:r>
                <m:t>d</m:t>
              </m:r>
              <m:r>
                <m:t>t</m:t>
              </m:r>
              <m:r>
                <m:rPr>
                  <m:sty m:val="p"/>
                </m:rPr>
                <m:t>.</m:t>
              </m:r>
            </m:e>
          </m:borderBox>
        </m:oMath>
      </m:oMathPara>
    </w:p>
    <w:p>
      <w:pPr>
        <w:pStyle w:val="FirstParagraph"/>
      </w:pPr>
      <w:r>
        <w:rPr>
          <w:b/>
          <w:bCs/>
        </w:rPr>
        <w:t xml:space="preserve">RETENU conditionnellement aux hypothèses de régularité et de temps continu sectoriel</w:t>
      </w:r>
      <w:r>
        <w:t xml:space="preserve">.</w:t>
      </w:r>
    </w:p>
    <w:bookmarkEnd w:id="61"/>
    <w:bookmarkEnd w:id="62"/>
    <w:bookmarkStart w:id="67" w:name="dynamique-générale"/>
    <w:p>
      <w:pPr>
        <w:pStyle w:val="Heading1"/>
      </w:pPr>
      <w:r>
        <w:t xml:space="preserve">10. Dynamique générale</w:t>
      </w:r>
    </w:p>
    <w:bookmarkStart w:id="63" w:name="architecture-relationnelle"/>
    <w:p>
      <w:pPr>
        <w:pStyle w:val="Heading2"/>
      </w:pPr>
      <w:r>
        <w:t xml:space="preserve">10.1. Architecture relationnelle</w:t>
      </w:r>
    </w:p>
    <w:p>
      <w:pPr>
        <w:pStyle w:val="FirstParagraph"/>
        <w:keepNext/>
      </w:pPr>
      <w:r>
        <w:t xml:space="preserve">La dynamique endogène générale est représentée par :</w:t>
      </w:r>
    </w:p>
    <w:p>
      <w:pPr>
        <w:pStyle w:val="BodyText"/>
      </w:pPr>
      <m:oMathPara>
        <m:oMathParaPr>
          <m:jc m:val="center"/>
        </m:oMathParaPr>
        <m:oMath>
          <m:borderBox>
            <m:e>
              <m:r>
                <m:rPr>
                  <m:sty m:val="p"/>
                  <m:scr m:val="script"/>
                </m:rPr>
                <m:t>D</m:t>
              </m:r>
              <m:r>
                <m:rPr>
                  <m:sty m:val="p"/>
                </m:rPr>
                <m:t>:</m:t>
              </m:r>
              <m:sSub>
                <m:e>
                  <m:r>
                    <m:t>Σ</m:t>
                  </m:r>
                </m:e>
                <m:sub>
                  <m:r>
                    <m:t>M</m:t>
                  </m:r>
                </m:sub>
              </m:sSub>
              <m:r>
                <m:rPr>
                  <m:sty m:val="p"/>
                </m:rPr>
                <m:t>×</m:t>
              </m:r>
              <m:sSub>
                <m:e>
                  <m:r>
                    <m:t>Λ</m:t>
                  </m:r>
                </m:e>
                <m:sub>
                  <m:r>
                    <m:t>M</m:t>
                  </m:r>
                </m:sub>
              </m:sSub>
              <m:r>
                <m:rPr>
                  <m:sty m:val="p"/>
                </m:rPr>
                <m:t>→</m:t>
              </m:r>
              <m:r>
                <m:rPr>
                  <m:sty m:val="p"/>
                  <m:scr m:val="script"/>
                </m:rPr>
                <m:t>P</m:t>
              </m:r>
              <m:d>
                <m:dPr>
                  <m:begChr m:val="("/>
                  <m:endChr m:val=")"/>
                  <m:sepChr m:val=""/>
                  <m:grow/>
                </m:dPr>
                <m:e>
                  <m:sSub>
                    <m:e>
                      <m:r>
                        <m:t>Σ</m:t>
                      </m:r>
                    </m:e>
                    <m:sub>
                      <m:r>
                        <m:t>M</m:t>
                      </m:r>
                    </m:sub>
                  </m:sSub>
                </m:e>
              </m:d>
              <m:r>
                <m:rPr>
                  <m:sty m:val="p"/>
                </m:rPr>
                <m:t>.</m:t>
              </m:r>
            </m:e>
          </m:borderBox>
        </m:oMath>
      </m:oMathPara>
    </w:p>
    <w:p>
      <w:pPr>
        <w:pStyle w:val="MakoloCallout"/>
      </w:pPr>
      <w:r>
        <w:rPr>
          <w:rFonts w:ascii="Aptos" w:hAnsi="Aptos" w:eastAsia="Aptos"/>
          <w:b/>
          <w:bCs/>
          <w:color w:val="5232DB"/>
          <w:sz w:val="19"/>
        </w:rPr>
        <w:t xml:space="preserve">RETENU</w:t>
      </w:r>
      <w:r>
        <w:rPr>
          <w:rFonts w:ascii="Aptos" w:hAnsi="Aptos" w:eastAsia="Aptos"/>
          <w:b/>
          <w:color w:val="5232DB"/>
          <w:sz w:val="19"/>
        </w:rPr>
        <w:t xml:space="preserve">.</w:t>
      </w:r>
    </w:p>
    <w:p>
      <w:pPr>
        <w:pStyle w:val="BodyText"/>
        <w:keepNext/>
      </w:pPr>
      <w:r>
        <w:t xml:space="preserve">La relation de transition est :</w:t>
      </w:r>
    </w:p>
    <w:p>
      <w:pPr>
        <w:pStyle w:val="BodyText"/>
      </w:pPr>
      <m:oMathPara>
        <m:oMathParaPr>
          <m:jc m:val="center"/>
        </m:oMathParaPr>
        <m:oMath>
          <m:borderBox>
            <m:e>
              <m:r>
                <m:t>Ξ</m:t>
              </m:r>
              <m:r>
                <m:rPr>
                  <m:sty m:val="p"/>
                </m:rPr>
                <m:t>⇝</m:t>
              </m:r>
              <m:r>
                <m:t>Ξ</m:t>
              </m:r>
              <m:r>
                <m:rPr>
                  <m:sty m:val="p"/>
                </m:rPr>
                <m:t>′</m:t>
              </m:r>
              <m:r>
                <m:rPr>
                  <m:sty m:val="p"/>
                </m:rPr>
                <m:t>⇔</m:t>
              </m:r>
              <m:r>
                <m:t>Ξ</m:t>
              </m:r>
              <m:r>
                <m:rPr>
                  <m:sty m:val="p"/>
                </m:rPr>
                <m:t>′</m:t>
              </m:r>
              <m:r>
                <m:rPr>
                  <m:sty m:val="p"/>
                </m:rPr>
                <m:t>∈</m:t>
              </m:r>
              <m:r>
                <m:rPr>
                  <m:sty m:val="p"/>
                  <m:scr m:val="script"/>
                </m:rPr>
                <m:t>D</m:t>
              </m:r>
              <m:d>
                <m:dPr>
                  <m:begChr m:val="("/>
                  <m:endChr m:val=")"/>
                  <m:sepChr m:val=""/>
                  <m:grow/>
                </m:dPr>
                <m:e>
                  <m:r>
                    <m:t>Ξ</m:t>
                  </m:r>
                  <m:r>
                    <m:rPr>
                      <m:sty m:val="p"/>
                    </m:rPr>
                    <m:t>;</m:t>
                  </m:r>
                  <m:r>
                    <m:t>Λ</m:t>
                  </m:r>
                </m:e>
              </m:d>
              <m:r>
                <m:rPr>
                  <m:sty m:val="p"/>
                </m:rPr>
                <m:t>.</m:t>
              </m:r>
            </m:e>
          </m:borderBox>
        </m:oMath>
      </m:oMathPara>
    </w:p>
    <w:p>
      <w:pPr>
        <w:pStyle w:val="MakoloCallout"/>
      </w:pPr>
      <w:r>
        <w:rPr>
          <w:rFonts w:ascii="Aptos" w:hAnsi="Aptos" w:eastAsia="Aptos"/>
          <w:b/>
          <w:bCs/>
          <w:color w:val="5232DB"/>
          <w:sz w:val="19"/>
        </w:rPr>
        <w:t xml:space="preserve">RETENU</w:t>
      </w:r>
      <w:r>
        <w:rPr>
          <w:rFonts w:ascii="Aptos" w:hAnsi="Aptos" w:eastAsia="Aptos"/>
          <w:b/>
          <w:color w:val="5232DB"/>
          <w:sz w:val="19"/>
        </w:rPr>
        <w:t xml:space="preserve">.</w:t>
      </w:r>
    </w:p>
    <w:p>
      <w:pPr>
        <w:pStyle w:val="BodyText"/>
      </w:pPr>
      <w:r>
        <w:t xml:space="preserve">Cette architecture est plus générale qu’une équation différentielle unique.</w:t>
      </w:r>
    </w:p>
    <w:bookmarkEnd w:id="63"/>
    <w:bookmarkStart w:id="64" w:name="admissibilité-et-réalisation"/>
    <w:p>
      <w:pPr>
        <w:pStyle w:val="Heading2"/>
      </w:pPr>
      <w:r>
        <w:t xml:space="preserve">10.2. Admissibilité et réalisation</w:t>
      </w:r>
    </w:p>
    <w:p>
      <w:pPr>
        <w:pStyle w:val="FirstParagraph"/>
      </w:pPr>
      <w:r>
        <w:t xml:space="preserve">Une continuation admissible n’est pas nécessairement la continuation effectivement réalisée.</w:t>
      </w:r>
    </w:p>
    <w:p>
      <w:pPr>
        <w:pStyle w:val="BodyText"/>
      </w:pPr>
      <m:oMathPara>
        <m:oMathParaPr>
          <m:jc m:val="center"/>
        </m:oMathParaPr>
        <m:oMath>
          <m:borderBox>
            <m:e>
              <m:r>
                <m:t>a</m:t>
              </m:r>
              <m:r>
                <m:t>d</m:t>
              </m:r>
              <m:r>
                <m:t>m</m:t>
              </m:r>
              <m:r>
                <m:t>i</m:t>
              </m:r>
              <m:r>
                <m:t>s</m:t>
              </m:r>
              <m:r>
                <m:t>s</m:t>
              </m:r>
              <m:r>
                <m:t>i</m:t>
              </m:r>
              <m:r>
                <m:t>b</m:t>
              </m:r>
              <m:r>
                <m:t>l</m:t>
              </m:r>
              <m:r>
                <m:t>e</m:t>
              </m:r>
              <m:r>
                <m:rPr>
                  <m:sty m:val="p"/>
                </m:rPr>
                <m:t>≠</m:t>
              </m:r>
              <m:r>
                <m:t>r</m:t>
              </m:r>
              <m:r>
                <m:t>é</m:t>
              </m:r>
              <m:r>
                <m:t>a</m:t>
              </m:r>
              <m:r>
                <m:t>l</m:t>
              </m:r>
              <m:r>
                <m:t>i</m:t>
              </m:r>
              <m:r>
                <m:t>s</m:t>
              </m:r>
              <m:r>
                <m:t>é</m:t>
              </m:r>
            </m:e>
          </m:borderBox>
        </m:oMath>
      </m:oMathPara>
    </w:p>
    <w:p>
      <w:pPr>
        <w:pStyle w:val="MakoloCallout"/>
      </w:pPr>
      <w:r>
        <w:rPr>
          <w:rFonts w:ascii="Aptos" w:hAnsi="Aptos" w:eastAsia="Aptos"/>
          <w:b/>
          <w:bCs/>
          <w:color w:val="5232DB"/>
          <w:sz w:val="19"/>
        </w:rPr>
        <w:t xml:space="preserve">RETENU</w:t>
      </w:r>
      <w:r>
        <w:rPr>
          <w:rFonts w:ascii="Aptos" w:hAnsi="Aptos" w:eastAsia="Aptos"/>
          <w:b/>
          <w:color w:val="5232DB"/>
          <w:sz w:val="19"/>
        </w:rPr>
        <w:t xml:space="preserve">.</w:t>
      </w:r>
    </w:p>
    <w:p>
      <w:pPr>
        <w:pStyle w:val="BodyText"/>
        <w:keepNext/>
      </w:pPr>
      <w:r>
        <w:t xml:space="preserve">Une histoire réalisée est une application :</w:t>
      </w:r>
    </w:p>
    <w:p>
      <w:pPr>
        <w:pStyle w:val="BodyText"/>
      </w:pPr>
      <m:oMathPara>
        <m:oMathParaPr>
          <m:jc m:val="center"/>
        </m:oMathParaPr>
        <m:oMath>
          <m:r>
            <m:rPr>
              <m:sty m:val="p"/>
              <m:scr m:val="script"/>
            </m:rPr>
            <m:t>H</m:t>
          </m:r>
          <m:r>
            <m:rPr>
              <m:sty m:val="p"/>
            </m:rPr>
            <m:t>:</m:t>
          </m:r>
          <m:r>
            <m:t>t</m:t>
          </m:r>
          <m:r>
            <m:rPr>
              <m:sty m:val="p"/>
            </m:rPr>
            <m:t>↦</m:t>
          </m:r>
          <m:r>
            <m:t>X</m:t>
          </m:r>
          <m:d>
            <m:dPr>
              <m:begChr m:val="("/>
              <m:endChr m:val=")"/>
              <m:sepChr m:val=""/>
              <m:grow/>
            </m:dPr>
            <m:e>
              <m:r>
                <m:t>t</m:t>
              </m:r>
            </m:e>
          </m:d>
          <m:r>
            <m:rPr>
              <m:sty m:val="p"/>
            </m:rPr>
            <m:t>.</m:t>
          </m:r>
        </m:oMath>
      </m:oMathPara>
    </w:p>
    <w:p>
      <w:pPr>
        <w:pStyle w:val="FirstParagraph"/>
      </w:pPr>
      <w:r>
        <w:t xml:space="preserve">Elle ne définit pas à elle seule la loi qui a rendu cette histoire admissible.</w:t>
      </w:r>
    </w:p>
    <w:bookmarkEnd w:id="64"/>
    <w:bookmarkStart w:id="65" w:name="endogène-et-exogène"/>
    <w:p>
      <w:pPr>
        <w:pStyle w:val="Heading2"/>
      </w:pPr>
      <w:r>
        <w:t xml:space="preserve">10.3. Endogène et exogène</w:t>
      </w:r>
    </w:p>
    <w:p>
      <w:pPr>
        <w:pStyle w:val="FirstParagraph"/>
        <w:keepNext/>
      </w:pPr>
      <w:r>
        <w:t xml:space="preserve">On distingue :</w:t>
      </w:r>
    </w:p>
    <w:p>
      <w:pPr>
        <w:pStyle w:val="BodyText"/>
      </w:pPr>
      <m:oMathPara>
        <m:oMathParaPr>
          <m:jc m:val="center"/>
        </m:oMathParaPr>
        <m:oMath>
          <m:borderBox>
            <m:e>
              <m:r>
                <m:t>i</m:t>
              </m:r>
              <m:r>
                <m:t>n</m:t>
              </m:r>
              <m:r>
                <m:t>f</m:t>
              </m:r>
              <m:r>
                <m:t>o</m:t>
              </m:r>
              <m:r>
                <m:t>r</m:t>
              </m:r>
              <m:r>
                <m:t>m</m:t>
              </m:r>
              <m:r>
                <m:t>a</m:t>
              </m:r>
              <m:r>
                <m:t>t</m:t>
              </m:r>
              <m:r>
                <m:t>i</m:t>
              </m:r>
              <m:r>
                <m:t>o</m:t>
              </m:r>
              <m:r>
                <m:t>n</m:t>
              </m:r>
              <m:r>
                <m:t> </m:t>
              </m:r>
              <m:r>
                <m:t>e</m:t>
              </m:r>
              <m:r>
                <m:t>x</m:t>
              </m:r>
              <m:r>
                <m:t>o</m:t>
              </m:r>
              <m:r>
                <m:t>g</m:t>
              </m:r>
              <m:r>
                <m:t>è</m:t>
              </m:r>
              <m:r>
                <m:t>n</m:t>
              </m:r>
              <m:r>
                <m:t>e</m:t>
              </m:r>
              <m:r>
                <m:rPr>
                  <m:sty m:val="p"/>
                </m:rPr>
                <m:t>≠</m:t>
              </m:r>
              <m:r>
                <m:t>i</m:t>
              </m:r>
              <m:r>
                <m:t>n</m:t>
              </m:r>
              <m:r>
                <m:t>t</m:t>
              </m:r>
              <m:r>
                <m:t>e</m:t>
              </m:r>
              <m:r>
                <m:t>r</m:t>
              </m:r>
              <m:r>
                <m:t>v</m:t>
              </m:r>
              <m:r>
                <m:t>e</m:t>
              </m:r>
              <m:r>
                <m:t>n</m:t>
              </m:r>
              <m:r>
                <m:t>t</m:t>
              </m:r>
              <m:r>
                <m:t>i</m:t>
              </m:r>
              <m:r>
                <m:t>o</m:t>
              </m:r>
              <m:r>
                <m:t>n</m:t>
              </m:r>
              <m:r>
                <m:t> </m:t>
              </m:r>
              <m:r>
                <m:t>e</m:t>
              </m:r>
              <m:r>
                <m:t>x</m:t>
              </m:r>
              <m:r>
                <m:t>o</m:t>
              </m:r>
              <m:r>
                <m:t>g</m:t>
              </m:r>
              <m:r>
                <m:t>è</m:t>
              </m:r>
              <m:r>
                <m:t>n</m:t>
              </m:r>
              <m:r>
                <m:t>e</m:t>
              </m:r>
              <m:r>
                <m:rPr>
                  <m:sty m:val="p"/>
                </m:rPr>
                <m:t>.</m:t>
              </m:r>
            </m:e>
          </m:borderBox>
        </m:oMath>
      </m:oMathPara>
    </w:p>
    <w:p>
      <w:pPr>
        <w:pStyle w:val="MakoloCallout"/>
      </w:pPr>
      <w:r>
        <w:rPr>
          <w:rFonts w:ascii="Aptos" w:hAnsi="Aptos" w:eastAsia="Aptos"/>
          <w:b/>
          <w:bCs/>
          <w:color w:val="5232DB"/>
          <w:sz w:val="19"/>
        </w:rPr>
        <w:t xml:space="preserve">RETENU</w:t>
      </w:r>
      <w:r>
        <w:rPr>
          <w:rFonts w:ascii="Aptos" w:hAnsi="Aptos" w:eastAsia="Aptos"/>
          <w:b/>
          <w:color w:val="5232DB"/>
          <w:sz w:val="19"/>
        </w:rPr>
        <w:t xml:space="preserve">.</w:t>
      </w:r>
    </w:p>
    <w:p>
      <w:pPr>
        <w:pStyle w:val="BodyText"/>
      </w:pPr>
      <w:r>
        <w:t xml:space="preserve">Une information peut modifier une estimation de l’état sans modifier l’état physique.</w:t>
      </w:r>
    </w:p>
    <w:p>
      <w:pPr>
        <w:pStyle w:val="BodyText"/>
        <w:keepNext/>
      </w:pPr>
      <w:r>
        <w:t xml:space="preserve">Une intervention réelle peut produire :</w:t>
      </w:r>
    </w:p>
    <w:p>
      <w:pPr>
        <w:pStyle w:val="BodyText"/>
      </w:pPr>
      <m:oMathPara>
        <m:oMathParaPr>
          <m:jc m:val="center"/>
        </m:oMathParaPr>
        <m:oMath>
          <m:sSup>
            <m:e>
              <m:r>
                <m:t>X</m:t>
              </m:r>
            </m:e>
            <m:sup>
              <m:r>
                <m:rPr>
                  <m:sty m:val="p"/>
                </m:rPr>
                <m:t>−</m:t>
              </m:r>
            </m:sup>
          </m:sSup>
          <m:limUpp>
            <m:e>
              <m:r>
                <m:rPr>
                  <m:sty m:val="p"/>
                </m:rPr>
                <m:t>→</m:t>
              </m:r>
            </m:e>
            <m:lim>
              <m:r>
                <m:t>e</m:t>
              </m:r>
              <m:r>
                <m:t>x</m:t>
              </m:r>
              <m:r>
                <m:t>t</m:t>
              </m:r>
            </m:lim>
          </m:limUpp>
          <m:sSup>
            <m:e>
              <m:r>
                <m:t>X</m:t>
              </m:r>
            </m:e>
            <m:sup>
              <m:r>
                <m:rPr>
                  <m:sty m:val="p"/>
                </m:rPr>
                <m:t>+</m:t>
              </m:r>
            </m:sup>
          </m:sSup>
          <m:r>
            <m:rPr>
              <m:sty m:val="p"/>
            </m:rPr>
            <m:t>.</m:t>
          </m:r>
        </m:oMath>
      </m:oMathPara>
    </w:p>
    <w:p>
      <w:pPr>
        <w:pStyle w:val="FirstParagraph"/>
      </w:pPr>
      <w:r>
        <w:t xml:space="preserve">Une transition véritablement exogène ne réfute pas automatiquement une loi endogène.</w:t>
      </w:r>
    </w:p>
    <w:bookmarkEnd w:id="65"/>
    <w:bookmarkStart w:id="66" w:name="première-loi-dynamique"/>
    <w:p>
      <w:pPr>
        <w:pStyle w:val="Heading2"/>
      </w:pPr>
      <w:r>
        <w:t xml:space="preserve">10.4. Première loi dynamique</w:t>
      </w:r>
    </w:p>
    <w:p>
      <w:pPr>
        <w:pStyle w:val="FirstParagraph"/>
      </w:pPr>
      <w:r>
        <w:t xml:space="preserve">Aucune première loi dynamique concrète</w:t>
      </w:r>
      <w:r>
        <w:t xml:space="preserve"> </w:t>
      </w:r>
      <m:oMath>
        <m:sSub>
          <m:e>
            <m:r>
              <m:t>L</m:t>
            </m:r>
          </m:e>
          <m:sub>
            <m:r>
              <m:t>1</m:t>
            </m:r>
          </m:sub>
        </m:sSub>
      </m:oMath>
      <w:r>
        <w:t xml:space="preserve"> </w:t>
      </w:r>
      <w:r>
        <w:t xml:space="preserve">n’est actuellement établie.</w:t>
      </w:r>
    </w:p>
    <w:p>
      <w:pPr>
        <w:pStyle w:val="BodyText"/>
        <w:keepNext/>
      </w:pPr>
      <w:r>
        <w:t xml:space="preserve">Les candidats H1-v1, H2-v1 et H3-v1 restent :</w:t>
      </w:r>
    </w:p>
    <w:p>
      <w:pPr>
        <w:pStyle w:val="MakoloCallout"/>
      </w:pPr>
      <w:r>
        <w:rPr>
          <w:rFonts w:ascii="Aptos" w:hAnsi="Aptos" w:eastAsia="Aptos"/>
          <w:b/>
          <w:bCs/>
          <w:color w:val="5232DB"/>
          <w:sz w:val="19"/>
        </w:rPr>
        <w:t xml:space="preserve">CANDIDAT</w:t>
      </w:r>
      <w:r>
        <w:rPr>
          <w:rFonts w:ascii="Aptos" w:hAnsi="Aptos" w:eastAsia="Aptos"/>
          <w:b/>
          <w:color w:val="5232DB"/>
          <w:sz w:val="19"/>
        </w:rPr>
        <w:t xml:space="preserve">.</w:t>
      </w:r>
    </w:p>
    <w:p>
      <w:pPr>
        <w:pStyle w:val="BodyText"/>
      </w:pPr>
      <m:oMathPara>
        <m:oMathParaPr>
          <m:jc m:val="center"/>
        </m:oMathParaPr>
        <m:oMath>
          <m:borderBox>
            <m:e>
              <m:sSub>
                <m:e>
                  <m:r>
                    <m:t>L</m:t>
                  </m:r>
                </m:e>
                <m:sub>
                  <m:r>
                    <m:t>1</m:t>
                  </m:r>
                </m:sub>
              </m:sSub>
              <m:r>
                <m:rPr>
                  <m:nor/>
                  <m:sty m:val="p"/>
                </m:rPr>
                <m:t> reste À DÉTERMINER</m:t>
              </m:r>
              <m:r>
                <m:rPr>
                  <m:sty m:val="p"/>
                </m:rPr>
                <m:t>.</m:t>
              </m:r>
            </m:e>
          </m:borderBox>
        </m:oMath>
      </m:oMathPara>
    </w:p>
    <w:p>
      <w:pPr>
        <w:pStyle w:val="FirstParagraph"/>
      </w:pPr>
      <w:r>
        <w:t xml:space="preserve">Cela ne fragilise pas la géométrie constitutive du modèle : géométrie et loi dynamique sont des niveaux distincts.</w:t>
      </w:r>
    </w:p>
    <w:bookmarkEnd w:id="66"/>
    <w:bookmarkEnd w:id="67"/>
    <w:bookmarkStart w:id="70" w:name="composition-et-systèmes"/>
    <w:p>
      <w:pPr>
        <w:pStyle w:val="Heading1"/>
      </w:pPr>
      <w:r>
        <w:t xml:space="preserve">11. Composition et systèmes</w:t>
      </w:r>
    </w:p>
    <w:bookmarkStart w:id="68" w:name="corps-composite-et-systèmemakolo"/>
    <w:p>
      <w:pPr>
        <w:pStyle w:val="Heading2"/>
      </w:pPr>
      <w:r>
        <w:t xml:space="preserve">11.1. Corps composite et SystèmeMakolo</w:t>
      </w:r>
    </w:p>
    <w:p>
      <w:pPr>
        <w:pStyle w:val="FirstParagraph"/>
      </w:pPr>
      <w:r>
        <w:t xml:space="preserve">Un Corps composite et un SystèmeMakolo sont distincts.</w:t>
      </w:r>
    </w:p>
    <w:p>
      <w:pPr>
        <w:pStyle w:val="MakoloCallout"/>
      </w:pPr>
      <w:r>
        <w:rPr>
          <w:rFonts w:ascii="Aptos" w:hAnsi="Aptos" w:eastAsia="Aptos"/>
          <w:b/>
          <w:bCs/>
          <w:color w:val="5232DB"/>
          <w:sz w:val="19"/>
        </w:rPr>
        <w:t xml:space="preserve">RETENU</w:t>
      </w:r>
      <w:r>
        <w:rPr>
          <w:rFonts w:ascii="Aptos" w:hAnsi="Aptos" w:eastAsia="Aptos"/>
          <w:b/>
          <w:color w:val="5232DB"/>
          <w:sz w:val="19"/>
        </w:rPr>
        <w:t xml:space="preserve">.</w:t>
      </w:r>
    </w:p>
    <w:p>
      <w:pPr>
        <w:pStyle w:val="BodyText"/>
      </w:pPr>
      <w:r>
        <w:t xml:space="preserve">Un SystèmeMakolo est défini relativement à un phénomène et à une frontière de modélisation.</w:t>
      </w:r>
    </w:p>
    <w:p>
      <w:pPr>
        <w:pStyle w:val="BodyText"/>
        <w:keepNext/>
      </w:pPr>
      <w:r>
        <w:t xml:space="preserve">On distingue :</w:t>
      </w:r>
    </w:p>
    <w:p>
      <w:pPr>
        <w:pStyle w:val="Compact"/>
        <w:numPr>
          <w:ilvl w:val="0"/>
          <w:numId w:val="1012"/>
        </w:numPr>
      </w:pPr>
      <w:r>
        <w:t xml:space="preserve">identité du système ;</w:t>
      </w:r>
    </w:p>
    <w:p>
      <w:pPr>
        <w:pStyle w:val="Compact"/>
        <w:numPr>
          <w:ilvl w:val="0"/>
          <w:numId w:val="1012"/>
        </w:numPr>
      </w:pPr>
      <w:r>
        <w:t xml:space="preserve">composition ;</w:t>
      </w:r>
    </w:p>
    <w:p>
      <w:pPr>
        <w:pStyle w:val="Compact"/>
        <w:numPr>
          <w:ilvl w:val="0"/>
          <w:numId w:val="1012"/>
        </w:numPr>
      </w:pPr>
      <w:r>
        <w:t xml:space="preserve">état ;</w:t>
      </w:r>
    </w:p>
    <w:p>
      <w:pPr>
        <w:pStyle w:val="Compact"/>
        <w:numPr>
          <w:ilvl w:val="0"/>
          <w:numId w:val="1012"/>
        </w:numPr>
      </w:pPr>
      <w:r>
        <w:t xml:space="preserve">frontière.</w:t>
      </w:r>
    </w:p>
    <w:p>
      <w:pPr>
        <w:pStyle w:val="FirstParagraph"/>
      </w:pPr>
      <w:r>
        <w:t xml:space="preserve">L’état du système ne se réduit pas nécessairement à la somme des états de ses parties.</w:t>
      </w:r>
    </w:p>
    <w:p>
      <w:pPr>
        <w:pStyle w:val="BodyText"/>
      </w:pPr>
      <m:oMathPara>
        <m:oMathParaPr>
          <m:jc m:val="center"/>
        </m:oMathParaPr>
        <m:oMath>
          <m:borderBox>
            <m:e>
              <m:sSub>
                <m:e>
                  <m:r>
                    <m:t>X</m:t>
                  </m:r>
                </m:e>
                <m:sub>
                  <m:r>
                    <m:rPr>
                      <m:sty m:val="p"/>
                      <m:scr m:val="script"/>
                    </m:rPr>
                    <m:t>S</m:t>
                  </m:r>
                </m:sub>
              </m:sSub>
              <m:r>
                <m:rPr>
                  <m:sty m:val="p"/>
                </m:rPr>
                <m:t>≠</m:t>
              </m:r>
              <m:nary>
                <m:naryPr>
                  <m:chr m:val="∑"/>
                  <m:limLoc m:val="undOvr"/>
                  <m:subHide m:val="off"/>
                  <m:supHide m:val="on"/>
                </m:naryPr>
                <m:sub>
                  <m:r>
                    <m:t>B</m:t>
                  </m:r>
                </m:sub>
                <m:sup>
                  <m:r>
                    <m:t>​</m:t>
                  </m:r>
                </m:sup>
                <m:e>
                  <m:sSub>
                    <m:e>
                      <m:r>
                        <m:t>X</m:t>
                      </m:r>
                    </m:e>
                    <m:sub>
                      <m:r>
                        <m:t>B</m:t>
                      </m:r>
                    </m:sub>
                  </m:sSub>
                </m:e>
              </m:nary>
              <m:r>
                <m:rPr>
                  <m:sty m:val="p"/>
                </m:rPr>
                <m:t>.</m:t>
              </m:r>
            </m:e>
          </m:borderBox>
        </m:oMath>
      </m:oMathPara>
    </w:p>
    <w:p>
      <w:pPr>
        <w:pStyle w:val="MakoloCallout"/>
      </w:pPr>
      <w:r>
        <w:rPr>
          <w:rFonts w:ascii="Aptos" w:hAnsi="Aptos" w:eastAsia="Aptos"/>
          <w:b/>
          <w:bCs/>
          <w:color w:val="5232DB"/>
          <w:sz w:val="19"/>
        </w:rPr>
        <w:t xml:space="preserve">RETENU</w:t>
      </w:r>
      <w:r>
        <w:rPr>
          <w:rFonts w:ascii="Aptos" w:hAnsi="Aptos" w:eastAsia="Aptos"/>
          <w:b/>
          <w:color w:val="5232DB"/>
          <w:sz w:val="19"/>
        </w:rPr>
        <w:t xml:space="preserve">.</w:t>
      </w:r>
    </w:p>
    <w:bookmarkEnd w:id="68"/>
    <w:bookmarkStart w:id="69" w:name="bilans"/>
    <w:p>
      <w:pPr>
        <w:pStyle w:val="Heading2"/>
      </w:pPr>
      <w:r>
        <w:t xml:space="preserve">11.2. Bilans</w:t>
      </w:r>
    </w:p>
    <w:p>
      <w:pPr>
        <w:pStyle w:val="FirstParagraph"/>
        <w:keepNext/>
      </w:pPr>
      <w:r>
        <w:t xml:space="preserve">Un bilan différentiel ne devient applicable que si le secteur définit réellement :</w:t>
      </w:r>
    </w:p>
    <w:p>
      <w:pPr>
        <w:pStyle w:val="Compact"/>
        <w:numPr>
          <w:ilvl w:val="0"/>
          <w:numId w:val="1013"/>
        </w:numPr>
      </w:pPr>
      <w:r>
        <w:t xml:space="preserve">une quantité</w:t>
      </w:r>
      <w:r>
        <w:t xml:space="preserve"> </w:t>
      </w:r>
      <m:oMath>
        <m:r>
          <m:t>K</m:t>
        </m:r>
      </m:oMath>
      <w:r>
        <w:t xml:space="preserve"> </w:t>
      </w:r>
      <w:r>
        <w:t xml:space="preserve">;</w:t>
      </w:r>
    </w:p>
    <w:p>
      <w:pPr>
        <w:pStyle w:val="Compact"/>
        <w:numPr>
          <w:ilvl w:val="0"/>
          <w:numId w:val="1013"/>
        </w:numPr>
      </w:pPr>
      <w:r>
        <w:t xml:space="preserve">une règle de composition ;</w:t>
      </w:r>
    </w:p>
    <w:p>
      <w:pPr>
        <w:pStyle w:val="Compact"/>
        <w:numPr>
          <w:ilvl w:val="0"/>
          <w:numId w:val="1013"/>
        </w:numPr>
      </w:pPr>
      <w:r>
        <w:t xml:space="preserve">une structure temporelle différentiable ;</w:t>
      </w:r>
    </w:p>
    <w:p>
      <w:pPr>
        <w:pStyle w:val="Compact"/>
        <w:numPr>
          <w:ilvl w:val="0"/>
          <w:numId w:val="1013"/>
        </w:numPr>
      </w:pPr>
      <w:r>
        <w:t xml:space="preserve">une frontière ;</w:t>
      </w:r>
    </w:p>
    <w:p>
      <w:pPr>
        <w:pStyle w:val="Compact"/>
        <w:numPr>
          <w:ilvl w:val="0"/>
          <w:numId w:val="1013"/>
        </w:numPr>
      </w:pPr>
      <w:r>
        <w:t xml:space="preserve">un flux ;</w:t>
      </w:r>
    </w:p>
    <w:p>
      <w:pPr>
        <w:pStyle w:val="Compact"/>
        <w:numPr>
          <w:ilvl w:val="0"/>
          <w:numId w:val="1013"/>
        </w:numPr>
      </w:pPr>
      <w:r>
        <w:t xml:space="preserve">une source ou un puits.</w:t>
      </w:r>
    </w:p>
    <w:p>
      <w:pPr>
        <w:pStyle w:val="FirstParagraph"/>
        <w:keepNext/>
      </w:pPr>
      <w:r>
        <w:t xml:space="preserve">Sous ces hypothèses, une relation du type :</w:t>
      </w:r>
    </w:p>
    <w:p>
      <w:pPr>
        <w:pStyle w:val="BodyText"/>
      </w:pPr>
      <m:oMathPara>
        <m:oMathParaPr>
          <m:jc m:val="center"/>
        </m:oMathParaPr>
        <m:oMath>
          <m:f>
            <m:fPr>
              <m:type m:val="bar"/>
            </m:fPr>
            <m:num>
              <m:r>
                <m:t>d</m:t>
              </m:r>
              <m:sSub>
                <m:e>
                  <m:r>
                    <m:t>K</m:t>
                  </m:r>
                </m:e>
                <m:sub>
                  <m:r>
                    <m:rPr>
                      <m:sty m:val="p"/>
                      <m:scr m:val="script"/>
                    </m:rPr>
                    <m:t>S</m:t>
                  </m:r>
                </m:sub>
              </m:sSub>
            </m:num>
            <m:den>
              <m:r>
                <m:t>d</m:t>
              </m:r>
              <m:r>
                <m:t>t</m:t>
              </m:r>
            </m:den>
          </m:f>
          <m:r>
            <m:rPr>
              <m:sty m:val="p"/>
            </m:rPr>
            <m:t>=</m:t>
          </m:r>
          <m:r>
            <m:rPr>
              <m:sty m:val="p"/>
            </m:rPr>
            <m:t>−</m:t>
          </m:r>
          <m:sSub>
            <m:e>
              <m:r>
                <m:rPr>
                  <m:sty m:val="p"/>
                  <m:scr m:val="script"/>
                </m:rPr>
                <m:t>F</m:t>
              </m:r>
            </m:e>
            <m:sub>
              <m:r>
                <m:t>K</m:t>
              </m:r>
            </m:sub>
          </m:sSub>
          <m:d>
            <m:dPr>
              <m:begChr m:val="("/>
              <m:endChr m:val=")"/>
              <m:sepChr m:val=""/>
              <m:grow/>
            </m:dPr>
            <m:e>
              <m:r>
                <m:rPr>
                  <m:sty m:val="p"/>
                </m:rPr>
                <m:t>∂</m:t>
              </m:r>
              <m:r>
                <m:rPr>
                  <m:sty m:val="p"/>
                  <m:scr m:val="script"/>
                </m:rPr>
                <m:t>S</m:t>
              </m:r>
            </m:e>
          </m:d>
          <m:r>
            <m:rPr>
              <m:sty m:val="p"/>
            </m:rPr>
            <m:t>+</m:t>
          </m:r>
          <m:sSub>
            <m:e>
              <m:r>
                <m:t>S</m:t>
              </m:r>
            </m:e>
            <m:sub>
              <m:r>
                <m:t>K</m:t>
              </m:r>
            </m:sub>
          </m:sSub>
        </m:oMath>
      </m:oMathPara>
    </w:p>
    <w:p>
      <w:pPr>
        <w:pStyle w:val="FirstParagraph"/>
      </w:pPr>
      <w:r>
        <w:t xml:space="preserve">peut être transposée depuis la théorie classique des systèmes ouverts.</w:t>
      </w:r>
    </w:p>
    <w:p>
      <w:pPr>
        <w:pStyle w:val="BodyText"/>
      </w:pPr>
      <w:r>
        <w:t xml:space="preserve">Aucun</w:t>
      </w:r>
      <w:r>
        <w:t xml:space="preserve"> </w:t>
      </w:r>
      <m:oMath>
        <m:r>
          <m:t>K</m:t>
        </m:r>
      </m:oMath>
      <w:r>
        <w:t xml:space="preserve"> </w:t>
      </w:r>
      <w:r>
        <w:t xml:space="preserve">universel n’est actuellement établi.</w:t>
      </w:r>
    </w:p>
    <w:p>
      <w:pPr>
        <w:pStyle w:val="BodyText"/>
      </w:pPr>
      <w:r>
        <w:t xml:space="preserve">Aucune masse ou énergie n’est introduite uniquement pour remplir cette équation.</w:t>
      </w:r>
    </w:p>
    <w:bookmarkEnd w:id="69"/>
    <w:bookmarkEnd w:id="70"/>
    <w:bookmarkStart w:id="74" w:name="symétries-invariants-et-conservations"/>
    <w:p>
      <w:pPr>
        <w:pStyle w:val="Heading1"/>
      </w:pPr>
      <w:r>
        <w:t xml:space="preserve">12. Symétries, invariants et conservations</w:t>
      </w:r>
    </w:p>
    <w:bookmarkStart w:id="71" w:name="symétries-géométriques"/>
    <w:p>
      <w:pPr>
        <w:pStyle w:val="Heading2"/>
      </w:pPr>
      <w:r>
        <w:t xml:space="preserve">12.1. Symétries géométriques</w:t>
      </w:r>
    </w:p>
    <w:p>
      <w:pPr>
        <w:pStyle w:val="FirstParagraph"/>
      </w:pPr>
      <w:r>
        <w:t xml:space="preserve">La géométrie euclidienne interne possède son groupe d’isométries mathématiques.</w:t>
      </w:r>
    </w:p>
    <w:p>
      <w:pPr>
        <w:pStyle w:val="BodyText"/>
      </w:pPr>
      <w:r>
        <w:t xml:space="preserve">Ces transformations préservent la métrique interne.</w:t>
      </w:r>
    </w:p>
    <w:p>
      <w:pPr>
        <w:pStyle w:val="BodyText"/>
      </w:pPr>
      <w:r>
        <w:t xml:space="preserve">Elles ne sont pas automatiquement des symétries de la dynamique physique de Makolo.</w:t>
      </w:r>
    </w:p>
    <w:p>
      <w:pPr>
        <w:pStyle w:val="BodyText"/>
        <w:keepNext/>
      </w:pPr>
      <w:r>
        <w:t xml:space="preserve">Une symétrie dynamique doit préserver les lois :</w:t>
      </w:r>
    </w:p>
    <w:p>
      <w:pPr>
        <w:pStyle w:val="BodyText"/>
      </w:pPr>
      <m:oMathPara>
        <m:oMathParaPr>
          <m:jc m:val="center"/>
        </m:oMathParaPr>
        <m:oMath>
          <m:r>
            <m:t>S</m:t>
          </m:r>
          <m:r>
            <m:rPr>
              <m:sty m:val="p"/>
            </m:rPr>
            <m:t>∘</m:t>
          </m:r>
          <m:r>
            <m:t>E</m:t>
          </m:r>
          <m:r>
            <m:t>v</m:t>
          </m:r>
          <m:r>
            <m:t>o</m:t>
          </m:r>
          <m:r>
            <m:t>l</m:t>
          </m:r>
          <m:r>
            <m:t>u</m:t>
          </m:r>
          <m:r>
            <m:t>t</m:t>
          </m:r>
          <m:r>
            <m:t>i</m:t>
          </m:r>
          <m:r>
            <m:t>o</m:t>
          </m:r>
          <m:r>
            <m:t>n</m:t>
          </m:r>
          <m:r>
            <m:rPr>
              <m:sty m:val="p"/>
            </m:rPr>
            <m:t>=</m:t>
          </m:r>
          <m:r>
            <m:t>E</m:t>
          </m:r>
          <m:r>
            <m:t>v</m:t>
          </m:r>
          <m:r>
            <m:t>o</m:t>
          </m:r>
          <m:r>
            <m:t>l</m:t>
          </m:r>
          <m:r>
            <m:t>u</m:t>
          </m:r>
          <m:r>
            <m:t>t</m:t>
          </m:r>
          <m:r>
            <m:t>i</m:t>
          </m:r>
          <m:r>
            <m:t>o</m:t>
          </m:r>
          <m:r>
            <m:t>n</m:t>
          </m:r>
          <m:r>
            <m:rPr>
              <m:sty m:val="p"/>
            </m:rPr>
            <m:t>∘</m:t>
          </m:r>
          <m:r>
            <m:t>S</m:t>
          </m:r>
          <m:r>
            <m:rPr>
              <m:sty m:val="p"/>
            </m:rPr>
            <m:t>.</m:t>
          </m:r>
        </m:oMath>
      </m:oMathPara>
    </w:p>
    <w:p>
      <w:pPr>
        <w:pStyle w:val="FirstParagraph"/>
      </w:pPr>
      <w:r>
        <w:rPr>
          <w:b/>
          <w:bCs/>
        </w:rPr>
        <w:t xml:space="preserve">RETENU comme critère</w:t>
      </w:r>
      <w:r>
        <w:t xml:space="preserve">.</w:t>
      </w:r>
    </w:p>
    <w:bookmarkEnd w:id="71"/>
    <w:bookmarkStart w:id="72" w:name="invariants-structurels"/>
    <w:p>
      <w:pPr>
        <w:pStyle w:val="Heading2"/>
      </w:pPr>
      <w:r>
        <w:t xml:space="preserve">12.2. Invariants structurels</w:t>
      </w:r>
    </w:p>
    <w:p>
      <w:pPr>
        <w:pStyle w:val="FirstParagraph"/>
        <w:keepNext/>
      </w:pPr>
      <w:r>
        <w:t xml:space="preserve">L’unicité de destination :</w:t>
      </w:r>
    </w:p>
    <w:p>
      <w:pPr>
        <w:pStyle w:val="BodyText"/>
      </w:pPr>
      <m:oMathPara>
        <m:oMathParaPr>
          <m:jc m:val="center"/>
        </m:oMathParaPr>
        <m:oMath>
          <m:d>
            <m:dPr>
              <m:begChr m:val="|"/>
              <m:endChr m:val="|"/>
              <m:sepChr m:val=""/>
              <m:grow/>
            </m:dPr>
            <m:e>
              <m:r>
                <m:rPr>
                  <m:sty m:val="p"/>
                </m:rPr>
                <m:t>{</m:t>
              </m:r>
              <m:r>
                <m:t>O</m:t>
              </m:r>
              <m:r>
                <m:rPr>
                  <m:sty m:val="p"/>
                </m:rPr>
                <m:t>:</m:t>
              </m:r>
              <m:d>
                <m:dPr>
                  <m:begChr m:val="("/>
                  <m:endChr m:val=")"/>
                  <m:sepChr m:val=""/>
                  <m:grow/>
                </m:dPr>
                <m:e>
                  <m:r>
                    <m:t>V</m:t>
                  </m:r>
                  <m:r>
                    <m:rPr>
                      <m:sty m:val="p"/>
                    </m:rPr>
                    <m:t>,</m:t>
                  </m:r>
                  <m:r>
                    <m:t>O</m:t>
                  </m:r>
                </m:e>
              </m:d>
              <m:r>
                <m:rPr>
                  <m:sty m:val="p"/>
                </m:rPr>
                <m:t>∈</m:t>
              </m:r>
              <m:sSub>
                <m:e>
                  <m:r>
                    <m:t>R</m:t>
                  </m:r>
                </m:e>
                <m:sub>
                  <m:r>
                    <m:t>D</m:t>
                  </m:r>
                </m:sub>
              </m:sSub>
              <m:d>
                <m:dPr>
                  <m:begChr m:val="("/>
                  <m:endChr m:val=")"/>
                  <m:sepChr m:val=""/>
                  <m:grow/>
                </m:dPr>
                <m:e>
                  <m:r>
                    <m:t>t</m:t>
                  </m:r>
                </m:e>
              </m:d>
              <m:r>
                <m:rPr>
                  <m:sty m:val="p"/>
                </m:rPr>
                <m:t>}</m:t>
              </m:r>
            </m:e>
          </m:d>
          <m:r>
            <m:rPr>
              <m:sty m:val="p"/>
            </m:rPr>
            <m:t>≤</m:t>
          </m:r>
          <m:r>
            <m:t>1</m:t>
          </m:r>
        </m:oMath>
      </m:oMathPara>
    </w:p>
    <w:p>
      <w:pPr>
        <w:pStyle w:val="FirstParagraph"/>
      </w:pPr>
      <w:r>
        <w:t xml:space="preserve">est un invariant structurel sectoriel des états admissibles.</w:t>
      </w:r>
    </w:p>
    <w:p>
      <w:pPr>
        <w:pStyle w:val="MakoloCallout"/>
      </w:pPr>
      <w:r>
        <w:rPr>
          <w:rFonts w:ascii="Aptos" w:hAnsi="Aptos" w:eastAsia="Aptos"/>
          <w:b/>
          <w:bCs/>
          <w:color w:val="5232DB"/>
          <w:sz w:val="19"/>
        </w:rPr>
        <w:t xml:space="preserve">RETENU</w:t>
      </w:r>
      <w:r>
        <w:rPr>
          <w:rFonts w:ascii="Aptos" w:hAnsi="Aptos" w:eastAsia="Aptos"/>
          <w:b/>
          <w:color w:val="5232DB"/>
          <w:sz w:val="19"/>
        </w:rPr>
        <w:t xml:space="preserve">.</w:t>
      </w:r>
    </w:p>
    <w:p>
      <w:pPr>
        <w:pStyle w:val="BodyText"/>
      </w:pPr>
      <w:r>
        <w:t xml:space="preserve">Elle n’est pas une quantité conservée au sens mécanique.</w:t>
      </w:r>
    </w:p>
    <w:p>
      <w:pPr>
        <w:pStyle w:val="BodyText"/>
      </w:pPr>
      <w:r>
        <w:t xml:space="preserve">Aucune énergie, masse ou quantité de mouvement Makolo universelle n’est actuellement dérivée.</w:t>
      </w:r>
    </w:p>
    <w:bookmarkEnd w:id="72"/>
    <w:bookmarkStart w:id="73" w:name="noether"/>
    <w:p>
      <w:pPr>
        <w:pStyle w:val="Heading2"/>
      </w:pPr>
      <w:r>
        <w:t xml:space="preserve">12.3. Noether</w:t>
      </w:r>
    </w:p>
    <w:p>
      <w:pPr>
        <w:pStyle w:val="FirstParagraph"/>
        <w:keepNext/>
      </w:pPr>
      <w:r>
        <w:t xml:space="preserve">Le théorème de Noether reste disponible comme science établie :</w:t>
      </w:r>
    </w:p>
    <w:p>
      <w:pPr>
        <w:pStyle w:val="BodyText"/>
      </w:pPr>
      <m:oMathPara>
        <m:oMathParaPr>
          <m:jc m:val="center"/>
        </m:oMathParaPr>
        <m:oMath>
          <m:r>
            <m:rPr>
              <m:nor/>
              <m:sty m:val="p"/>
            </m:rPr>
            <m:t>symétrie continue d’une action</m:t>
          </m:r>
          <m:r>
            <m:rPr>
              <m:sty m:val="p"/>
            </m:rPr>
            <m:t>⇒</m:t>
          </m:r>
          <m:r>
            <m:rPr>
              <m:nor/>
              <m:sty m:val="p"/>
            </m:rPr>
            <m:t>quantité conservée</m:t>
          </m:r>
        </m:oMath>
      </m:oMathPara>
    </w:p>
    <w:p>
      <w:pPr>
        <w:pStyle w:val="FirstParagraph"/>
      </w:pPr>
      <w:r>
        <w:t xml:space="preserve">sous les hypothèses usuelles.</w:t>
      </w:r>
    </w:p>
    <w:p>
      <w:pPr>
        <w:pStyle w:val="BodyText"/>
      </w:pPr>
      <w:r>
        <w:t xml:space="preserve">Mais aucune action universelle Makolo n’est actuellement définie.</w:t>
      </w:r>
    </w:p>
    <w:p>
      <w:pPr>
        <w:pStyle w:val="BodyText"/>
        <w:keepNext/>
      </w:pPr>
      <w:r>
        <w:t xml:space="preserve">L’application de Noether reste donc :</w:t>
      </w:r>
    </w:p>
    <w:p>
      <w:pPr>
        <w:pStyle w:val="BodyText"/>
      </w:pPr>
      <w:r>
        <w:rPr>
          <w:b/>
          <w:bCs/>
        </w:rPr>
        <w:t xml:space="preserve">À DÉTERMINER sectoriellement</w:t>
      </w:r>
      <w:r>
        <w:t xml:space="preserve">.</w:t>
      </w:r>
    </w:p>
    <w:bookmarkEnd w:id="73"/>
    <w:bookmarkEnd w:id="74"/>
    <w:bookmarkStart w:id="75" w:name="principe-de-transposition-scientifique"/>
    <w:p>
      <w:pPr>
        <w:pStyle w:val="Heading1"/>
      </w:pPr>
      <w:r>
        <w:t xml:space="preserve">13. Principe de transposition scientifique</w:t>
      </w:r>
    </w:p>
    <w:p>
      <w:pPr>
        <w:pStyle w:val="FirstParagraph"/>
        <w:keepNext/>
      </w:pPr>
      <w:r>
        <w:t xml:space="preserve">La méthode de travail générale est :</w:t>
      </w:r>
    </w:p>
    <w:p>
      <w:pPr>
        <w:pStyle w:val="BodyText"/>
      </w:pPr>
      <m:oMathPara>
        <m:oMathParaPr>
          <m:jc m:val="center"/>
        </m:oMathParaPr>
        <m:oMath>
          <m:borderBox>
            <m:e>
              <m:r>
                <m:rPr>
                  <m:nor/>
                  <m:sty m:val="p"/>
                </m:rPr>
                <m:t>appliquer</m:t>
              </m:r>
              <m:r>
                <m:rPr>
                  <m:sty m:val="p"/>
                </m:rPr>
                <m:t>&gt;</m:t>
              </m:r>
              <m:r>
                <m:rPr>
                  <m:nor/>
                  <m:sty m:val="p"/>
                </m:rPr>
                <m:t>adapter</m:t>
              </m:r>
              <m:r>
                <m:rPr>
                  <m:sty m:val="p"/>
                </m:rPr>
                <m:t>&gt;</m:t>
              </m:r>
              <m:r>
                <m:rPr>
                  <m:nor/>
                  <m:sty m:val="p"/>
                </m:rPr>
                <m:t>composer</m:t>
              </m:r>
              <m:r>
                <m:rPr>
                  <m:sty m:val="p"/>
                </m:rPr>
                <m:t>&gt;</m:t>
              </m:r>
              <m:r>
                <m:rPr>
                  <m:nor/>
                  <m:sty m:val="p"/>
                </m:rPr>
                <m:t>inventer en dernier recours</m:t>
              </m:r>
            </m:e>
          </m:borderBox>
        </m:oMath>
      </m:oMathPara>
    </w:p>
    <w:p>
      <w:pPr>
        <w:pStyle w:val="MakoloCallout"/>
      </w:pPr>
      <w:r>
        <w:rPr>
          <w:rFonts w:ascii="Aptos" w:hAnsi="Aptos" w:eastAsia="Aptos"/>
          <w:b/>
          <w:bCs/>
          <w:color w:val="5232DB"/>
          <w:sz w:val="19"/>
        </w:rPr>
        <w:t xml:space="preserve">RETENU</w:t>
      </w:r>
      <w:r>
        <w:rPr>
          <w:rFonts w:ascii="Aptos" w:hAnsi="Aptos" w:eastAsia="Aptos"/>
          <w:b/>
          <w:color w:val="5232DB"/>
          <w:sz w:val="19"/>
        </w:rPr>
        <w:t xml:space="preserve">.</w:t>
      </w:r>
    </w:p>
    <w:p>
      <w:pPr>
        <w:pStyle w:val="BodyText"/>
        <w:keepNext/>
      </w:pPr>
      <w:r>
        <w:t xml:space="preserve">Pour toute structure Makolo :</w:t>
      </w:r>
    </w:p>
    <w:p>
      <w:pPr>
        <w:pStyle w:val="Compact"/>
        <w:numPr>
          <w:ilvl w:val="0"/>
          <w:numId w:val="1014"/>
        </w:numPr>
      </w:pPr>
      <w:r>
        <w:t xml:space="preserve">identifier précisément sa forme mathématique ;</w:t>
      </w:r>
    </w:p>
    <w:p>
      <w:pPr>
        <w:pStyle w:val="Compact"/>
        <w:numPr>
          <w:ilvl w:val="0"/>
          <w:numId w:val="1014"/>
        </w:numPr>
      </w:pPr>
      <w:r>
        <w:t xml:space="preserve">rechercher le cadre scientifique établi correspondant ;</w:t>
      </w:r>
    </w:p>
    <w:p>
      <w:pPr>
        <w:pStyle w:val="Compact"/>
        <w:numPr>
          <w:ilvl w:val="0"/>
          <w:numId w:val="1014"/>
        </w:numPr>
      </w:pPr>
      <w:r>
        <w:t xml:space="preserve">expliciter les hypothèses de ce cadre ;</w:t>
      </w:r>
    </w:p>
    <w:p>
      <w:pPr>
        <w:pStyle w:val="Compact"/>
        <w:numPr>
          <w:ilvl w:val="0"/>
          <w:numId w:val="1014"/>
        </w:numPr>
      </w:pPr>
      <w:r>
        <w:t xml:space="preserve">vérifier lesquelles sont satisfaites ;</w:t>
      </w:r>
    </w:p>
    <w:p>
      <w:pPr>
        <w:pStyle w:val="Compact"/>
        <w:numPr>
          <w:ilvl w:val="0"/>
          <w:numId w:val="1014"/>
        </w:numPr>
      </w:pPr>
      <w:r>
        <w:t xml:space="preserve">transférer directement les résultats valides ;</w:t>
      </w:r>
    </w:p>
    <w:p>
      <w:pPr>
        <w:pStyle w:val="Compact"/>
        <w:numPr>
          <w:ilvl w:val="0"/>
          <w:numId w:val="1014"/>
        </w:numPr>
      </w:pPr>
      <w:r>
        <w:t xml:space="preserve">n’adapter que ce qui diffère ;</w:t>
      </w:r>
    </w:p>
    <w:p>
      <w:pPr>
        <w:pStyle w:val="Compact"/>
        <w:numPr>
          <w:ilvl w:val="0"/>
          <w:numId w:val="1014"/>
        </w:numPr>
      </w:pPr>
      <w:r>
        <w:t xml:space="preserve">n’introduire une structure nouvelle qu’après insuffisance démontrée des cadres pertinents.</w:t>
      </w:r>
    </w:p>
    <w:p>
      <w:pPr>
        <w:pStyle w:val="FirstParagraph"/>
        <w:keepNext/>
      </w:pPr>
      <w:r>
        <w:t xml:space="preserve">Ainsi :</w:t>
      </w:r>
    </w:p>
    <w:p>
      <w:pPr>
        <w:pStyle w:val="Compact"/>
        <w:numPr>
          <w:ilvl w:val="0"/>
          <w:numId w:val="1015"/>
        </w:numPr>
      </w:pPr>
      <w:r>
        <w:t xml:space="preserve">un plan euclidien utilise la géométrie euclidienne ;</w:t>
      </w:r>
    </w:p>
    <w:p>
      <w:pPr>
        <w:pStyle w:val="Compact"/>
        <w:numPr>
          <w:ilvl w:val="0"/>
          <w:numId w:val="1015"/>
        </w:numPr>
      </w:pPr>
      <w:r>
        <w:t xml:space="preserve">une trajectoire différentiable utilise le calcul différentiel ;</w:t>
      </w:r>
    </w:p>
    <w:p>
      <w:pPr>
        <w:pStyle w:val="Compact"/>
        <w:numPr>
          <w:ilvl w:val="0"/>
          <w:numId w:val="1015"/>
        </w:numPr>
      </w:pPr>
      <w:r>
        <w:t xml:space="preserve">un secteur lagrangien utiliserait Euler-Lagrange ;</w:t>
      </w:r>
    </w:p>
    <w:p>
      <w:pPr>
        <w:pStyle w:val="Compact"/>
        <w:numPr>
          <w:ilvl w:val="0"/>
          <w:numId w:val="1015"/>
        </w:numPr>
      </w:pPr>
      <w:r>
        <w:t xml:space="preserve">un secteur hamiltonien utiliserait Hamilton ;</w:t>
      </w:r>
    </w:p>
    <w:p>
      <w:pPr>
        <w:pStyle w:val="Compact"/>
        <w:numPr>
          <w:ilvl w:val="0"/>
          <w:numId w:val="1015"/>
        </w:numPr>
      </w:pPr>
      <w:r>
        <w:t xml:space="preserve">une action symétrique utiliserait Noether.</w:t>
      </w:r>
    </w:p>
    <w:p>
      <w:pPr>
        <w:pStyle w:val="FirstParagraph"/>
      </w:pPr>
      <w:r>
        <w:t xml:space="preserve">Aucun de ces cadres n’est rebaptisé artificiellement « version Makolo ».</w:t>
      </w:r>
    </w:p>
    <w:bookmarkEnd w:id="75"/>
    <w:bookmarkStart w:id="78" w:name="X9818e98a9be5d2c7974171aabb8a4925a6dd1bc"/>
    <w:p>
      <w:pPr>
        <w:pStyle w:val="Heading1"/>
      </w:pPr>
      <w:r>
        <w:t xml:space="preserve">14. Ce que la géométrie signifie — et ne signifie pas</w:t>
      </w:r>
    </w:p>
    <w:bookmarkStart w:id="76" w:name="signification-positive"/>
    <w:p>
      <w:pPr>
        <w:pStyle w:val="Heading2"/>
      </w:pPr>
      <w:r>
        <w:t xml:space="preserve">14.1. Signification positive</w:t>
      </w:r>
    </w:p>
    <w:p>
      <w:pPr>
        <w:pStyle w:val="FirstParagraph"/>
      </w:pPr>
      <w:r>
        <w:t xml:space="preserve">La géométrie fournit une structure interne pour comparer des positions et des déplacements.</w:t>
      </w:r>
    </w:p>
    <w:p>
      <w:pPr>
        <w:pStyle w:val="BodyText"/>
        <w:keepNext/>
      </w:pPr>
      <w:r>
        <w:t xml:space="preserve">Elle répond à des questions du type :</w:t>
      </w:r>
    </w:p>
    <w:p>
      <w:pPr>
        <w:pStyle w:val="Compact"/>
        <w:numPr>
          <w:ilvl w:val="0"/>
          <w:numId w:val="1016"/>
        </w:numPr>
      </w:pPr>
      <w:r>
        <w:t xml:space="preserve">deux loci internes sont-ils identiques ?</w:t>
      </w:r>
    </w:p>
    <w:p>
      <w:pPr>
        <w:pStyle w:val="Compact"/>
        <w:numPr>
          <w:ilvl w:val="0"/>
          <w:numId w:val="1016"/>
        </w:numPr>
      </w:pPr>
      <w:r>
        <w:t xml:space="preserve">quel est leur vecteur de séparation dans le secteur complet ?</w:t>
      </w:r>
    </w:p>
    <w:p>
      <w:pPr>
        <w:pStyle w:val="Compact"/>
        <w:numPr>
          <w:ilvl w:val="0"/>
          <w:numId w:val="1016"/>
        </w:numPr>
      </w:pPr>
      <w:r>
        <w:t xml:space="preserve">quelle est leur distance interne ?</w:t>
      </w:r>
    </w:p>
    <w:p>
      <w:pPr>
        <w:pStyle w:val="Compact"/>
        <w:numPr>
          <w:ilvl w:val="0"/>
          <w:numId w:val="1016"/>
        </w:numPr>
      </w:pPr>
      <w:r>
        <w:t xml:space="preserve">une trajectoire est-elle continue ou régulière dans un secteur approprié ?</w:t>
      </w:r>
    </w:p>
    <w:p>
      <w:pPr>
        <w:pStyle w:val="Compact"/>
        <w:numPr>
          <w:ilvl w:val="0"/>
          <w:numId w:val="1016"/>
        </w:numPr>
      </w:pPr>
      <w:r>
        <w:t xml:space="preserve">quelle longueur interne possède cette trajectoire ?</w:t>
      </w:r>
    </w:p>
    <w:bookmarkEnd w:id="76"/>
    <w:bookmarkStart w:id="77" w:name="absence-de-sémantique-humaine-directe"/>
    <w:p>
      <w:pPr>
        <w:pStyle w:val="Heading2"/>
      </w:pPr>
      <w:r>
        <w:t xml:space="preserve">14.2. Absence de sémantique humaine directe</w:t>
      </w:r>
    </w:p>
    <w:p>
      <w:pPr>
        <w:pStyle w:val="FirstParagraph"/>
        <w:keepNext/>
      </w:pPr>
      <w:r>
        <w:t xml:space="preserve">La géométrie ne répond pas, à elle seule, à :</w:t>
      </w:r>
    </w:p>
    <w:p>
      <w:pPr>
        <w:pStyle w:val="Compact"/>
        <w:numPr>
          <w:ilvl w:val="0"/>
          <w:numId w:val="1017"/>
        </w:numPr>
      </w:pPr>
      <w:r>
        <w:t xml:space="preserve">« est-ce facile ? » ;</w:t>
      </w:r>
    </w:p>
    <w:p>
      <w:pPr>
        <w:pStyle w:val="Compact"/>
        <w:numPr>
          <w:ilvl w:val="0"/>
          <w:numId w:val="1017"/>
        </w:numPr>
      </w:pPr>
      <w:r>
        <w:t xml:space="preserve">« est-ce souhaitable ? » ;</w:t>
      </w:r>
    </w:p>
    <w:p>
      <w:pPr>
        <w:pStyle w:val="Compact"/>
        <w:numPr>
          <w:ilvl w:val="0"/>
          <w:numId w:val="1017"/>
        </w:numPr>
      </w:pPr>
      <w:r>
        <w:t xml:space="preserve">« est-ce accessible à cette personne ? » ;</w:t>
      </w:r>
    </w:p>
    <w:p>
      <w:pPr>
        <w:pStyle w:val="Compact"/>
        <w:numPr>
          <w:ilvl w:val="0"/>
          <w:numId w:val="1017"/>
        </w:numPr>
      </w:pPr>
      <w:r>
        <w:t xml:space="preserve">« est-ce une meilleure possibilité ? » ;</w:t>
      </w:r>
    </w:p>
    <w:p>
      <w:pPr>
        <w:pStyle w:val="Compact"/>
        <w:numPr>
          <w:ilvl w:val="0"/>
          <w:numId w:val="1017"/>
        </w:numPr>
      </w:pPr>
      <w:r>
        <w:t xml:space="preserve">« combien d’effort humain cela exige ? ».</w:t>
      </w:r>
    </w:p>
    <w:p>
      <w:pPr>
        <w:pStyle w:val="FirstParagraph"/>
      </w:pPr>
      <w:r>
        <w:t xml:space="preserve">Une grande distance interne peut être favorable dans un contexte et défavorable dans un autre.</w:t>
      </w:r>
    </w:p>
    <w:p>
      <w:pPr>
        <w:pStyle w:val="BodyText"/>
      </w:pPr>
      <w:r>
        <w:t xml:space="preserve">Une petite distance interne peut être sans intérêt ou inaccessible.</w:t>
      </w:r>
    </w:p>
    <w:p>
      <w:pPr>
        <w:pStyle w:val="BodyText"/>
      </w:pPr>
      <w:r>
        <w:t xml:space="preserve">La théorie géométrique demeure donc</w:t>
      </w:r>
      <w:r>
        <w:t xml:space="preserve"> </w:t>
      </w:r>
      <w:r>
        <w:rPr>
          <w:b/>
          <w:bCs/>
        </w:rPr>
        <w:t xml:space="preserve">descriptive de structure</w:t>
      </w:r>
      <w:r>
        <w:t xml:space="preserve">, et non normative.</w:t>
      </w:r>
    </w:p>
    <w:bookmarkEnd w:id="77"/>
    <w:bookmarkEnd w:id="78"/>
    <w:bookmarkStart w:id="79" w:name="état-consolidé-des-neuf-dimensions"/>
    <w:p>
      <w:pPr>
        <w:pStyle w:val="Heading1"/>
      </w:pPr>
      <w:r>
        <w:t xml:space="preserve">15. État consolidé des neuf dimensions</w:t>
      </w:r>
    </w:p>
    <w:tbl>
      <w:tblPr>
        <w:tblStyle w:val="Table"/>
        <w:tblW w:type="pct" w:w="5000"/>
        <w:jc w:val="center"/>
        <w:tblLayout w:type="autofit"/>
        <w:tblLook w:firstRow="1" w:lastRow="0" w:firstColumn="0" w:lastColumn="0" w:noHBand="0" w:noVBand="0" w:val="0020"/>
        <w:tblBorders>
          <w:top w:val="single" w:sz="4" w:color="CBD5E1"/>
          <w:left w:val="single" w:sz="4" w:color="CBD5E1"/>
          <w:bottom w:val="single" w:sz="4" w:color="CBD5E1"/>
          <w:right w:val="single" w:sz="4" w:color="CBD5E1"/>
          <w:insideH w:val="single" w:sz="4" w:color="CBD5E1"/>
          <w:insideV w:val="single" w:sz="4" w:color="CBD5E1"/>
        </w:tblBorders>
      </w:tblPr>
      <w:tblGrid>
        <w:gridCol w:w="2640"/>
        <w:gridCol w:w="2640"/>
        <w:gridCol w:w="2640"/>
      </w:tblGrid>
      <w:tr>
        <w:trPr>
          <w:tblHeader w:val="on"/>
        </w:trPr>
        <w:tc>
          <w:tcPr>
            <w:vAlign w:val="center"/>
            <w:tcMar>
              <w:top w:w="90" w:type="dxa"/>
              <w:left w:w="90" w:type="dxa"/>
              <w:bottom w:w="90" w:type="dxa"/>
              <w:right w:w="90" w:type="dxa"/>
            </w:tcMar>
            <w:shd w:fill="2B176E"/>
          </w:tcPr>
          <w:p>
            <w:pPr>
              <w:pStyle w:val="Compact"/>
              <w:spacing w:after="40" w:before="20"/>
              <w:jc w:val="left"/>
            </w:pPr>
            <w:r>
              <w:rPr>
                <w:rFonts w:ascii="Aptos" w:hAnsi="Aptos" w:eastAsia="Aptos"/>
                <w:b/>
                <w:color w:val="FFFFFF"/>
                <w:sz w:val="17"/>
              </w:rPr>
              <w:t xml:space="preserve">Dimension</w:t>
            </w:r>
          </w:p>
        </w:tc>
        <w:tc>
          <w:tcPr>
            <w:vAlign w:val="center"/>
            <w:tcMar>
              <w:top w:w="90" w:type="dxa"/>
              <w:left w:w="90" w:type="dxa"/>
              <w:bottom w:w="90" w:type="dxa"/>
              <w:right w:w="90" w:type="dxa"/>
            </w:tcMar>
            <w:shd w:fill="2B176E"/>
          </w:tcPr>
          <w:p>
            <w:pPr>
              <w:pStyle w:val="Compact"/>
              <w:spacing w:after="40" w:before="20"/>
              <w:jc w:val="left"/>
            </w:pPr>
            <w:r>
              <w:rPr>
                <w:rFonts w:ascii="Aptos" w:hAnsi="Aptos" w:eastAsia="Aptos"/>
                <w:b/>
                <w:color w:val="FFFFFF"/>
                <w:sz w:val="17"/>
              </w:rPr>
              <w:t xml:space="preserve">État actuel</w:t>
            </w:r>
          </w:p>
        </w:tc>
        <w:tc>
          <w:tcPr>
            <w:vAlign w:val="center"/>
            <w:tcMar>
              <w:top w:w="90" w:type="dxa"/>
              <w:left w:w="90" w:type="dxa"/>
              <w:bottom w:w="90" w:type="dxa"/>
              <w:right w:w="90" w:type="dxa"/>
            </w:tcMar>
            <w:shd w:fill="2B176E"/>
          </w:tcPr>
          <w:p>
            <w:pPr>
              <w:pStyle w:val="Compact"/>
              <w:spacing w:after="40" w:before="20"/>
              <w:jc w:val="left"/>
            </w:pPr>
            <w:r>
              <w:rPr>
                <w:rFonts w:ascii="Aptos" w:hAnsi="Aptos" w:eastAsia="Aptos"/>
                <w:b/>
                <w:color w:val="FFFFFF"/>
                <w:sz w:val="17"/>
              </w:rPr>
              <w:t xml:space="preserve">Statut principal</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Arène</w:t>
            </w:r>
          </w:p>
        </w:tc>
        <w:tc>
          <w:tcPr>
            <w:vAlign w:val="center"/>
            <w:tcMar>
              <w:top w:w="90" w:type="dxa"/>
              <w:left w:w="90" w:type="dxa"/>
              <w:bottom w:w="90" w:type="dxa"/>
              <w:right w:w="90" w:type="dxa"/>
            </w:tcMar>
          </w:tcPr>
          <w:p>
            <w:pPr>
              <w:pStyle w:val="Compact"/>
              <w:spacing w:after="40" w:before="20"/>
              <w:jc w:val="left"/>
            </w:pPr>
            <m:oMath>
              <m:r>
                <m:t>T</m:t>
              </m:r>
              <m:r>
                <m:rPr>
                  <m:sty m:val="p"/>
                </m:rPr>
                <m:t>,</m:t>
              </m:r>
              <m:sSub>
                <m:e>
                  <m:r>
                    <m:t>Γ</m:t>
                  </m:r>
                </m:e>
                <m:sub>
                  <m:r>
                    <m:t>M</m:t>
                  </m:r>
                </m:sub>
              </m:sSub>
              <m:r>
                <m:rPr>
                  <m:sty m:val="p"/>
                </m:rPr>
                <m:t>,</m:t>
              </m:r>
              <m:sSub>
                <m:e>
                  <m:r>
                    <m:t>Σ</m:t>
                  </m:r>
                </m:e>
                <m:sub>
                  <m:r>
                    <m:t>M</m:t>
                  </m:r>
                </m:sub>
              </m:sSub>
            </m:oMath>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RETENU</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Objets</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Corps, relations, systèmes</w:t>
            </w:r>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RETENU</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États</w:t>
            </w:r>
          </w:p>
        </w:tc>
        <w:tc>
          <w:tcPr>
            <w:vAlign w:val="center"/>
            <w:tcMar>
              <w:top w:w="90" w:type="dxa"/>
              <w:left w:w="90" w:type="dxa"/>
              <w:bottom w:w="90" w:type="dxa"/>
              <w:right w:w="90" w:type="dxa"/>
            </w:tcMar>
          </w:tcPr>
          <w:p>
            <w:pPr>
              <w:pStyle w:val="Compact"/>
              <w:spacing w:after="40" w:before="20"/>
              <w:jc w:val="left"/>
            </w:pPr>
            <m:oMath>
              <m:r>
                <m:t>I</m:t>
              </m:r>
              <m:r>
                <m:t>d</m:t>
              </m:r>
              <m:r>
                <m:rPr>
                  <m:sty m:val="p"/>
                </m:rPr>
                <m:t>,</m:t>
              </m:r>
              <m:r>
                <m:t>Q</m:t>
              </m:r>
              <m:r>
                <m:rPr>
                  <m:sty m:val="p"/>
                </m:rPr>
                <m:t>,</m:t>
              </m:r>
              <m:r>
                <m:t>σ</m:t>
              </m:r>
            </m:oMath>
            <w:r>
              <w:rPr>
                <w:rFonts w:ascii="Aptos" w:hAnsi="Aptos" w:eastAsia="Aptos"/>
                <w:b w:val="0"/>
                <w:color w:val="0F172A"/>
                <w:sz w:val="17"/>
              </w:rPr>
              <w:t xml:space="preserve">, état global complet relativement à l’endogène</w:t>
            </w:r>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RETENU</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Géométrie</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espace stratifié ; secteur complet affine euclidien</w:t>
            </w:r>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RETENU</w:t>
            </w:r>
            <w:r>
              <w:rPr>
                <w:rFonts w:ascii="Aptos" w:hAnsi="Aptos" w:eastAsia="Aptos"/>
                <w:b w:val="0"/>
                <w:color w:val="0F172A"/>
                <w:sz w:val="17"/>
              </w:rPr>
              <w:t xml:space="preserve"> </w:t>
            </w:r>
            <w:r>
              <w:rPr>
                <w:rFonts w:ascii="Aptos" w:hAnsi="Aptos" w:eastAsia="Aptos"/>
                <w:b w:val="0"/>
                <w:color w:val="0F172A"/>
                <w:sz w:val="17"/>
              </w:rPr>
              <w:t xml:space="preserve">pour la structure constitutive</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Projections</w:t>
            </w:r>
          </w:p>
        </w:tc>
        <w:tc>
          <w:tcPr>
            <w:vAlign w:val="center"/>
            <w:tcMar>
              <w:top w:w="90" w:type="dxa"/>
              <w:left w:w="90" w:type="dxa"/>
              <w:bottom w:w="90" w:type="dxa"/>
              <w:right w:w="90" w:type="dxa"/>
            </w:tcMar>
          </w:tcPr>
          <w:p>
            <w:pPr>
              <w:pStyle w:val="Compact"/>
              <w:spacing w:after="40" w:before="20"/>
              <w:jc w:val="left"/>
            </w:pPr>
            <m:oMath>
              <m:sSub>
                <m:e>
                  <m:r>
                    <m:t>E</m:t>
                  </m:r>
                </m:e>
                <m:sub>
                  <m:r>
                    <m:t>G</m:t>
                  </m:r>
                </m:sub>
              </m:sSub>
            </m:oMath>
            <w:r>
              <w:rPr>
                <w:rFonts w:ascii="Aptos" w:hAnsi="Aptos" w:eastAsia="Aptos"/>
                <w:b w:val="0"/>
                <w:color w:val="0F172A"/>
                <w:sz w:val="17"/>
              </w:rPr>
              <w:t xml:space="preserve">,</w:t>
            </w:r>
            <w:r>
              <w:rPr>
                <w:rFonts w:ascii="Aptos" w:hAnsi="Aptos" w:eastAsia="Aptos"/>
                <w:b w:val="0"/>
                <w:color w:val="0F172A"/>
                <w:sz w:val="17"/>
              </w:rPr>
              <w:t xml:space="preserve"> </w:t>
            </w:r>
            <m:oMath>
              <m:sSub>
                <m:e>
                  <m:r>
                    <m:t>E</m:t>
                  </m:r>
                </m:e>
                <m:sub>
                  <m:r>
                    <m:t>I</m:t>
                  </m:r>
                </m:sub>
              </m:sSub>
            </m:oMath>
            <w:r>
              <w:rPr>
                <w:rFonts w:ascii="Aptos" w:hAnsi="Aptos" w:eastAsia="Aptos"/>
                <w:b w:val="0"/>
                <w:color w:val="0F172A"/>
                <w:sz w:val="17"/>
              </w:rPr>
              <w:t xml:space="preserve"> </w:t>
            </w:r>
            <w:r>
              <w:rPr>
                <w:rFonts w:ascii="Aptos" w:hAnsi="Aptos" w:eastAsia="Aptos"/>
                <w:b w:val="0"/>
                <w:color w:val="0F172A"/>
                <w:sz w:val="17"/>
              </w:rPr>
              <w:t xml:space="preserve">comme réalisations concrètes</w:t>
            </w:r>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CANDIDAT</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Symétries</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isométries géométriques connues ; symétries dynamiques ouvertes</w:t>
            </w:r>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RETENU</w:t>
            </w:r>
            <w:r>
              <w:rPr>
                <w:rFonts w:ascii="Aptos" w:hAnsi="Aptos" w:eastAsia="Aptos"/>
                <w:b w:val="0"/>
                <w:color w:val="0F172A"/>
                <w:sz w:val="17"/>
              </w:rPr>
              <w:t xml:space="preserve"> </w:t>
            </w:r>
            <w:r>
              <w:rPr>
                <w:rFonts w:ascii="Aptos" w:hAnsi="Aptos" w:eastAsia="Aptos"/>
                <w:b w:val="0"/>
                <w:color w:val="0F172A"/>
                <w:sz w:val="17"/>
              </w:rPr>
              <w:t xml:space="preserve">géométrique /</w:t>
            </w:r>
            <w:r>
              <w:rPr>
                <w:rFonts w:ascii="Aptos" w:hAnsi="Aptos" w:eastAsia="Aptos"/>
                <w:b w:val="0"/>
                <w:color w:val="0F172A"/>
                <w:sz w:val="17"/>
              </w:rPr>
              <w:t xml:space="preserve"> </w:t>
            </w:r>
            <w:r>
              <w:rPr>
                <w:rStyle w:val="VerbatimChar"/>
                <w:rFonts w:ascii="Aptos" w:hAnsi="Aptos" w:eastAsia="Aptos"/>
                <w:b w:val="0"/>
                <w:color w:val="0F172A"/>
                <w:sz w:val="17"/>
              </w:rPr>
              <w:t xml:space="preserve">À DÉTERMINER</w:t>
            </w:r>
            <w:r>
              <w:rPr>
                <w:rFonts w:ascii="Aptos" w:hAnsi="Aptos" w:eastAsia="Aptos"/>
                <w:b w:val="0"/>
                <w:color w:val="0F172A"/>
                <w:sz w:val="17"/>
              </w:rPr>
              <w:t xml:space="preserve"> </w:t>
            </w:r>
            <w:r>
              <w:rPr>
                <w:rFonts w:ascii="Aptos" w:hAnsi="Aptos" w:eastAsia="Aptos"/>
                <w:b w:val="0"/>
                <w:color w:val="0F172A"/>
                <w:sz w:val="17"/>
              </w:rPr>
              <w:t xml:space="preserve">dynamique</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Dynamique</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relation</w:t>
            </w:r>
            <w:r>
              <w:rPr>
                <w:rFonts w:ascii="Aptos" w:hAnsi="Aptos" w:eastAsia="Aptos"/>
                <w:b w:val="0"/>
                <w:color w:val="0F172A"/>
                <w:sz w:val="17"/>
              </w:rPr>
              <w:t xml:space="preserve"> </w:t>
            </w:r>
            <m:oMath>
              <m:r>
                <m:rPr>
                  <m:sty m:val="p"/>
                  <m:scr m:val="script"/>
                </m:rPr>
                <m:t>D</m:t>
              </m:r>
            </m:oMath>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RETENU</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Lois concrètes</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aucune</w:t>
            </w:r>
            <w:r>
              <w:rPr>
                <w:rFonts w:ascii="Aptos" w:hAnsi="Aptos" w:eastAsia="Aptos"/>
                <w:b w:val="0"/>
                <w:color w:val="0F172A"/>
                <w:sz w:val="17"/>
              </w:rPr>
              <w:t xml:space="preserve"> </w:t>
            </w:r>
            <m:oMath>
              <m:sSub>
                <m:e>
                  <m:r>
                    <m:t>L</m:t>
                  </m:r>
                </m:e>
                <m:sub>
                  <m:r>
                    <m:t>1</m:t>
                  </m:r>
                </m:sub>
              </m:sSub>
            </m:oMath>
            <w:r>
              <w:rPr>
                <w:rFonts w:ascii="Aptos" w:hAnsi="Aptos" w:eastAsia="Aptos"/>
                <w:b w:val="0"/>
                <w:color w:val="0F172A"/>
                <w:sz w:val="17"/>
              </w:rPr>
              <w:t xml:space="preserve"> </w:t>
            </w:r>
            <w:r>
              <w:rPr>
                <w:rFonts w:ascii="Aptos" w:hAnsi="Aptos" w:eastAsia="Aptos"/>
                <w:b w:val="0"/>
                <w:color w:val="0F172A"/>
                <w:sz w:val="17"/>
              </w:rPr>
              <w:t xml:space="preserve">établie</w:t>
            </w:r>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À DÉTERMINER</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Observables</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états, relations, loci ; protocoles sectoriels à préciser</w:t>
            </w:r>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RETENU</w:t>
            </w:r>
            <w:r>
              <w:rPr>
                <w:rFonts w:ascii="Aptos" w:hAnsi="Aptos" w:eastAsia="Aptos"/>
                <w:b w:val="0"/>
                <w:color w:val="0F172A"/>
                <w:sz w:val="17"/>
              </w:rPr>
              <w:t xml:space="preserve"> </w:t>
            </w:r>
            <w:r>
              <w:rPr>
                <w:rFonts w:ascii="Aptos" w:hAnsi="Aptos" w:eastAsia="Aptos"/>
                <w:b w:val="0"/>
                <w:color w:val="0F172A"/>
                <w:sz w:val="17"/>
              </w:rPr>
              <w:t xml:space="preserve">structurel /</w:t>
            </w:r>
            <w:r>
              <w:rPr>
                <w:rFonts w:ascii="Aptos" w:hAnsi="Aptos" w:eastAsia="Aptos"/>
                <w:b w:val="0"/>
                <w:color w:val="0F172A"/>
                <w:sz w:val="17"/>
              </w:rPr>
              <w:t xml:space="preserve"> </w:t>
            </w:r>
            <w:r>
              <w:rPr>
                <w:rStyle w:val="VerbatimChar"/>
                <w:rFonts w:ascii="Aptos" w:hAnsi="Aptos" w:eastAsia="Aptos"/>
                <w:b w:val="0"/>
                <w:color w:val="0F172A"/>
                <w:sz w:val="17"/>
              </w:rPr>
              <w:t xml:space="preserve">À DÉTERMINER</w:t>
            </w:r>
            <w:r>
              <w:rPr>
                <w:rFonts w:ascii="Aptos" w:hAnsi="Aptos" w:eastAsia="Aptos"/>
                <w:b w:val="0"/>
                <w:color w:val="0F172A"/>
                <w:sz w:val="17"/>
              </w:rPr>
              <w:t xml:space="preserve"> </w:t>
            </w:r>
            <w:r>
              <w:rPr>
                <w:rFonts w:ascii="Aptos" w:hAnsi="Aptos" w:eastAsia="Aptos"/>
                <w:b w:val="0"/>
                <w:color w:val="0F172A"/>
                <w:sz w:val="17"/>
              </w:rPr>
              <w:t xml:space="preserve">opérationnel</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Invariants</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unicité sectorielle de destination ; invariants géométriques</w:t>
            </w:r>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RETENU</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Conservations mécaniques</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aucune universelle</w:t>
            </w:r>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SANS ÉQUIVALENT</w:t>
            </w:r>
            <w:r>
              <w:rPr>
                <w:rFonts w:ascii="Aptos" w:hAnsi="Aptos" w:eastAsia="Aptos"/>
                <w:b w:val="0"/>
                <w:color w:val="0F172A"/>
                <w:sz w:val="17"/>
              </w:rPr>
              <w:t xml:space="preserve"> </w:t>
            </w:r>
            <w:r>
              <w:rPr>
                <w:rFonts w:ascii="Aptos" w:hAnsi="Aptos" w:eastAsia="Aptos"/>
                <w:b w:val="0"/>
                <w:color w:val="0F172A"/>
                <w:sz w:val="17"/>
              </w:rPr>
              <w:t xml:space="preserve">actuellement</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Causalité/localité</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influence dérivée ; aucune localité dynamique universelle</w:t>
            </w:r>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À DÉTERMINER</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Composition</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Corps composites et systèmes distingués</w:t>
            </w:r>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RETENU</w:t>
            </w:r>
          </w:p>
        </w:tc>
      </w:tr>
    </w:tbl>
    <w:bookmarkEnd w:id="79"/>
    <w:bookmarkStart w:id="89" w:name="X4c4b7a4bc13026c2a87662e3eeb89cb0affa205"/>
    <w:p>
      <w:pPr>
        <w:pStyle w:val="Heading1"/>
      </w:pPr>
      <w:r>
        <w:t xml:space="preserve">16. Théorèmes et conséquences mathématiques consolidés</w:t>
      </w:r>
    </w:p>
    <w:bookmarkStart w:id="80" w:name="t1-chasles"/>
    <w:p>
      <w:pPr>
        <w:pStyle w:val="Heading2"/>
      </w:pPr>
      <w:r>
        <w:t xml:space="preserve">T1 — Chasles</w:t>
      </w:r>
    </w:p>
    <w:p>
      <w:pPr>
        <w:pStyle w:val="FirstParagraph"/>
        <w:keepNext/>
      </w:pPr>
      <w:r>
        <w:t xml:space="preserve">Dans le secteur affine complet :</w:t>
      </w:r>
    </w:p>
    <w:p>
      <w:pPr>
        <w:pStyle w:val="BodyText"/>
      </w:pPr>
      <m:oMathPara>
        <m:oMathParaPr>
          <m:jc m:val="center"/>
        </m:oMathParaPr>
        <m:oMath>
          <m:acc>
            <m:accPr>
              <m:chr m:val="⃗"/>
            </m:accPr>
            <m:e>
              <m:r>
                <m:t>A</m:t>
              </m:r>
              <m:r>
                <m:t>B</m:t>
              </m:r>
            </m:e>
          </m:acc>
          <m:r>
            <m:rPr>
              <m:sty m:val="p"/>
            </m:rPr>
            <m:t>+</m:t>
          </m:r>
          <m:acc>
            <m:accPr>
              <m:chr m:val="⃗"/>
            </m:accPr>
            <m:e>
              <m:r>
                <m:t>B</m:t>
              </m:r>
              <m:r>
                <m:t>C</m:t>
              </m:r>
            </m:e>
          </m:acc>
          <m:r>
            <m:rPr>
              <m:sty m:val="p"/>
            </m:rPr>
            <m:t>=</m:t>
          </m:r>
          <m:acc>
            <m:accPr>
              <m:chr m:val="⃗"/>
            </m:accPr>
            <m:e>
              <m:r>
                <m:t>A</m:t>
              </m:r>
              <m:r>
                <m:t>C</m:t>
              </m:r>
            </m:e>
          </m:acc>
          <m:r>
            <m:rPr>
              <m:sty m:val="p"/>
            </m:rPr>
            <m:t>.</m:t>
          </m:r>
        </m:oMath>
      </m:oMathPara>
    </w:p>
    <w:bookmarkEnd w:id="80"/>
    <w:bookmarkStart w:id="81" w:name="t2-pythagore"/>
    <w:p>
      <w:pPr>
        <w:pStyle w:val="Heading2"/>
      </w:pPr>
      <w:r>
        <w:t xml:space="preserve">T2 — Pythagore</w:t>
      </w:r>
    </w:p>
    <w:p>
      <w:pPr>
        <w:pStyle w:val="FirstParagraph"/>
        <w:keepNext/>
      </w:pPr>
      <w:r>
        <w:t xml:space="preserve">Dans la métrique euclidienne interne :</w:t>
      </w:r>
    </w:p>
    <w:p>
      <w:pPr>
        <w:pStyle w:val="BodyText"/>
      </w:pPr>
      <m:oMathPara>
        <m:oMathParaPr>
          <m:jc m:val="center"/>
        </m:oMathParaPr>
        <m:oMath>
          <m:r>
            <m:rPr>
              <m:sty m:val="p"/>
            </m:rPr>
            <m:t>∥</m:t>
          </m:r>
          <m:r>
            <m:t>Δ</m:t>
          </m:r>
          <m:r>
            <m:t>p</m:t>
          </m:r>
          <m:sSubSup>
            <m:e>
              <m:r>
                <m:rPr>
                  <m:sty m:val="p"/>
                </m:rPr>
                <m:t>∥</m:t>
              </m:r>
            </m:e>
            <m:sub>
              <m:r>
                <m:t>M</m:t>
              </m:r>
            </m:sub>
            <m:sup>
              <m:r>
                <m:t>2</m:t>
              </m:r>
            </m:sup>
          </m:sSubSup>
          <m:r>
            <m:rPr>
              <m:sty m:val="p"/>
            </m:rPr>
            <m:t>=</m:t>
          </m:r>
          <m:sSup>
            <m:e>
              <m:d>
                <m:dPr>
                  <m:begChr m:val="("/>
                  <m:endChr m:val=")"/>
                  <m:sepChr m:val=""/>
                  <m:grow/>
                </m:dPr>
                <m:e>
                  <m:r>
                    <m:t>Δ</m:t>
                  </m:r>
                  <m:r>
                    <m:t>g</m:t>
                  </m:r>
                </m:e>
              </m:d>
            </m:e>
            <m:sup>
              <m:r>
                <m:t>2</m:t>
              </m:r>
            </m:sup>
          </m:sSup>
          <m:r>
            <m:rPr>
              <m:sty m:val="p"/>
            </m:rPr>
            <m:t>+</m:t>
          </m:r>
          <m:sSup>
            <m:e>
              <m:d>
                <m:dPr>
                  <m:begChr m:val="("/>
                  <m:endChr m:val=")"/>
                  <m:sepChr m:val=""/>
                  <m:grow/>
                </m:dPr>
                <m:e>
                  <m:r>
                    <m:t>Δ</m:t>
                  </m:r>
                  <m:r>
                    <m:t>i</m:t>
                  </m:r>
                </m:e>
              </m:d>
            </m:e>
            <m:sup>
              <m:r>
                <m:t>2</m:t>
              </m:r>
            </m:sup>
          </m:sSup>
          <m:r>
            <m:rPr>
              <m:sty m:val="p"/>
            </m:rPr>
            <m:t>.</m:t>
          </m:r>
        </m:oMath>
      </m:oMathPara>
    </w:p>
    <w:bookmarkEnd w:id="81"/>
    <w:bookmarkStart w:id="82" w:name="t3-invariance-par-translation"/>
    <w:p>
      <w:pPr>
        <w:pStyle w:val="Heading2"/>
      </w:pPr>
      <w:r>
        <w:t xml:space="preserve">T3 — Invariance par translation</w:t>
      </w:r>
    </w:p>
    <w:p>
      <w:pPr>
        <w:pStyle w:val="FirstParagraph"/>
      </w:pPr>
      <m:oMathPara>
        <m:oMathParaPr>
          <m:jc m:val="center"/>
        </m:oMathParaPr>
        <m:oMath>
          <m:sSub>
            <m:e>
              <m:r>
                <m:t>d</m:t>
              </m:r>
            </m:e>
            <m:sub>
              <m:r>
                <m:t>M</m:t>
              </m:r>
            </m:sub>
          </m:sSub>
          <m:d>
            <m:dPr>
              <m:begChr m:val="("/>
              <m:endChr m:val=")"/>
              <m:sepChr m:val=""/>
              <m:grow/>
            </m:dPr>
            <m:e>
              <m:r>
                <m:t>A</m:t>
              </m:r>
              <m:r>
                <m:rPr>
                  <m:sty m:val="p"/>
                </m:rPr>
                <m:t>+</m:t>
              </m:r>
              <m:r>
                <m:t>T</m:t>
              </m:r>
              <m:r>
                <m:rPr>
                  <m:sty m:val="p"/>
                </m:rPr>
                <m:t>,</m:t>
              </m:r>
              <m:r>
                <m:t>B</m:t>
              </m:r>
              <m:r>
                <m:rPr>
                  <m:sty m:val="p"/>
                </m:rPr>
                <m:t>+</m:t>
              </m:r>
              <m:r>
                <m:t>T</m:t>
              </m:r>
            </m:e>
          </m:d>
          <m:r>
            <m:rPr>
              <m:sty m:val="p"/>
            </m:rPr>
            <m:t>=</m:t>
          </m:r>
          <m:sSub>
            <m:e>
              <m:r>
                <m:t>d</m:t>
              </m:r>
            </m:e>
            <m:sub>
              <m:r>
                <m:t>M</m:t>
              </m:r>
            </m:sub>
          </m:sSub>
          <m:d>
            <m:dPr>
              <m:begChr m:val="("/>
              <m:endChr m:val=")"/>
              <m:sepChr m:val=""/>
              <m:grow/>
            </m:dPr>
            <m:e>
              <m:r>
                <m:t>A</m:t>
              </m:r>
              <m:r>
                <m:rPr>
                  <m:sty m:val="p"/>
                </m:rPr>
                <m:t>,</m:t>
              </m:r>
              <m:r>
                <m:t>B</m:t>
              </m:r>
            </m:e>
          </m:d>
          <m:r>
            <m:rPr>
              <m:sty m:val="p"/>
            </m:rPr>
            <m:t>.</m:t>
          </m:r>
        </m:oMath>
      </m:oMathPara>
    </w:p>
    <w:bookmarkEnd w:id="82"/>
    <w:bookmarkStart w:id="83" w:name="t4-invariance-orthogonale"/>
    <w:p>
      <w:pPr>
        <w:pStyle w:val="Heading2"/>
      </w:pPr>
      <w:r>
        <w:t xml:space="preserve">T4 — Invariance orthogonale</w:t>
      </w:r>
    </w:p>
    <w:p>
      <w:pPr>
        <w:pStyle w:val="FirstParagraph"/>
        <w:keepNext/>
      </w:pPr>
      <w:r>
        <w:t xml:space="preserve">Pour</w:t>
      </w:r>
      <w:r>
        <w:t xml:space="preserve"> </w:t>
      </w:r>
      <m:oMath>
        <m:sSup>
          <m:e>
            <m:r>
              <m:t>R</m:t>
            </m:r>
          </m:e>
          <m:sup>
            <m:r>
              <m:t>T</m:t>
            </m:r>
          </m:sup>
        </m:sSup>
        <m:r>
          <m:t>R</m:t>
        </m:r>
        <m:r>
          <m:rPr>
            <m:sty m:val="p"/>
          </m:rPr>
          <m:t>=</m:t>
        </m:r>
        <m:r>
          <m:t>I</m:t>
        </m:r>
      </m:oMath>
      <w:r>
        <w:t xml:space="preserve"> </w:t>
      </w:r>
      <w:r>
        <w:t xml:space="preserve">:</w:t>
      </w:r>
    </w:p>
    <w:p>
      <w:pPr>
        <w:pStyle w:val="BodyText"/>
      </w:pPr>
      <m:oMathPara>
        <m:oMathParaPr>
          <m:jc m:val="center"/>
        </m:oMathParaPr>
        <m:oMath>
          <m:r>
            <m:rPr>
              <m:sty m:val="p"/>
            </m:rPr>
            <m:t>∥</m:t>
          </m:r>
          <m:r>
            <m:t>R</m:t>
          </m:r>
          <m:r>
            <m:t>v</m:t>
          </m:r>
          <m:sSub>
            <m:e>
              <m:r>
                <m:rPr>
                  <m:sty m:val="p"/>
                </m:rPr>
                <m:t>∥</m:t>
              </m:r>
            </m:e>
            <m:sub>
              <m:r>
                <m:t>M</m:t>
              </m:r>
            </m:sub>
          </m:sSub>
          <m:r>
            <m:rPr>
              <m:sty m:val="p"/>
            </m:rPr>
            <m:t>=</m:t>
          </m:r>
          <m:r>
            <m:rPr>
              <m:sty m:val="p"/>
            </m:rPr>
            <m:t>∥</m:t>
          </m:r>
          <m:r>
            <m:t>v</m:t>
          </m:r>
          <m:sSub>
            <m:e>
              <m:r>
                <m:rPr>
                  <m:sty m:val="p"/>
                </m:rPr>
                <m:t>∥</m:t>
              </m:r>
            </m:e>
            <m:sub>
              <m:r>
                <m:t>M</m:t>
              </m:r>
            </m:sub>
          </m:sSub>
          <m:r>
            <m:rPr>
              <m:sty m:val="p"/>
            </m:rPr>
            <m:t>.</m:t>
          </m:r>
        </m:oMath>
      </m:oMathPara>
    </w:p>
    <w:bookmarkEnd w:id="83"/>
    <w:bookmarkStart w:id="84" w:name="t5-bornage-de-e_g"/>
    <w:p>
      <w:pPr>
        <w:pStyle w:val="Heading2"/>
      </w:pPr>
      <w:r>
        <w:t xml:space="preserve">T5 — Bornage de</w:t>
      </w:r>
      <w:r>
        <w:t xml:space="preserve"> </w:t>
      </w:r>
      <m:oMath>
        <m:sSub>
          <m:e>
            <m:r>
              <m:t>E</m:t>
            </m:r>
          </m:e>
          <m:sub>
            <m:r>
              <m:t>G</m:t>
            </m:r>
          </m:sub>
        </m:sSub>
      </m:oMath>
    </w:p>
    <w:p>
      <w:pPr>
        <w:pStyle w:val="FirstParagraph"/>
        <w:keepNext/>
      </w:pPr>
      <w:r>
        <w:t xml:space="preserve">Sous son domaine déclaré :</w:t>
      </w:r>
    </w:p>
    <w:p>
      <w:pPr>
        <w:pStyle w:val="BodyText"/>
      </w:pPr>
      <m:oMathPara>
        <m:oMathParaPr>
          <m:jc m:val="center"/>
        </m:oMathParaPr>
        <m:oMath>
          <m:r>
            <m:rPr>
              <m:sty m:val="p"/>
            </m:rPr>
            <m:t>−</m:t>
          </m:r>
          <m:r>
            <m:t>180</m:t>
          </m:r>
          <m:r>
            <m:rPr>
              <m:sty m:val="p"/>
            </m:rPr>
            <m:t>≤</m:t>
          </m:r>
          <m:sSub>
            <m:e>
              <m:r>
                <m:t>E</m:t>
              </m:r>
            </m:e>
            <m:sub>
              <m:r>
                <m:t>G</m:t>
              </m:r>
            </m:sub>
          </m:sSub>
          <m:d>
            <m:dPr>
              <m:begChr m:val="("/>
              <m:endChr m:val=")"/>
              <m:sepChr m:val=""/>
              <m:grow/>
            </m:dPr>
            <m:e>
              <m:r>
                <m:t>λ</m:t>
              </m:r>
              <m:r>
                <m:rPr>
                  <m:sty m:val="p"/>
                </m:rPr>
                <m:t>,</m:t>
              </m:r>
              <m:r>
                <m:t>φ</m:t>
              </m:r>
            </m:e>
          </m:d>
          <m:r>
            <m:rPr>
              <m:sty m:val="p"/>
            </m:rPr>
            <m:t>≤</m:t>
          </m:r>
          <m:r>
            <m:t>180</m:t>
          </m:r>
          <m:r>
            <m:rPr>
              <m:sty m:val="p"/>
            </m:rPr>
            <m:t>.</m:t>
          </m:r>
        </m:oMath>
      </m:oMathPara>
    </w:p>
    <w:bookmarkEnd w:id="84"/>
    <w:bookmarkStart w:id="85" w:name="t6-injectivité-rationnelle-de-e_g"/>
    <w:p>
      <w:pPr>
        <w:pStyle w:val="Heading2"/>
      </w:pPr>
      <w:r>
        <w:t xml:space="preserve">T6 — Injectivité rationnelle de</w:t>
      </w:r>
      <w:r>
        <w:t xml:space="preserve"> </w:t>
      </w:r>
      <m:oMath>
        <m:sSub>
          <m:e>
            <m:r>
              <m:t>E</m:t>
            </m:r>
          </m:e>
          <m:sub>
            <m:r>
              <m:t>G</m:t>
            </m:r>
          </m:sub>
        </m:sSub>
      </m:oMath>
    </w:p>
    <w:p>
      <w:pPr>
        <w:pStyle w:val="FirstParagraph"/>
      </w:pPr>
      <w:r>
        <w:t xml:space="preserve">Sur le domaine rationnel déclaré,</w:t>
      </w:r>
      <w:r>
        <w:t xml:space="preserve"> </w:t>
      </w:r>
      <m:oMath>
        <m:sSub>
          <m:e>
            <m:r>
              <m:t>E</m:t>
            </m:r>
          </m:e>
          <m:sub>
            <m:r>
              <m:t>G</m:t>
            </m:r>
          </m:sub>
        </m:sSub>
      </m:oMath>
      <w:r>
        <w:t xml:space="preserve"> </w:t>
      </w:r>
      <w:r>
        <w:t xml:space="preserve">est injective.</w:t>
      </w:r>
    </w:p>
    <w:bookmarkEnd w:id="85"/>
    <w:bookmarkStart w:id="86" w:name="t7-non-injectivité-réelle-de-e_g"/>
    <w:p>
      <w:pPr>
        <w:pStyle w:val="Heading2"/>
      </w:pPr>
      <w:r>
        <w:t xml:space="preserve">T7 — Non-injectivité réelle de</w:t>
      </w:r>
      <w:r>
        <w:t xml:space="preserve"> </w:t>
      </w:r>
      <m:oMath>
        <m:sSub>
          <m:e>
            <m:r>
              <m:t>E</m:t>
            </m:r>
          </m:e>
          <m:sub>
            <m:r>
              <m:t>G</m:t>
            </m:r>
          </m:sub>
        </m:sSub>
      </m:oMath>
    </w:p>
    <w:p>
      <w:pPr>
        <w:pStyle w:val="FirstParagraph"/>
      </w:pPr>
      <w:r>
        <w:t xml:space="preserve">Sur</w:t>
      </w:r>
      <w:r>
        <w:t xml:space="preserve"> </w:t>
      </w:r>
      <m:oMath>
        <m:sSup>
          <m:e>
            <m:r>
              <m:rPr>
                <m:sty m:val="p"/>
                <m:scr m:val="double-struck"/>
              </m:rPr>
              <m:t>R</m:t>
            </m:r>
          </m:e>
          <m:sup>
            <m:r>
              <m:t>2</m:t>
            </m:r>
          </m:sup>
        </m:sSup>
      </m:oMath>
      <w:r>
        <w:t xml:space="preserve">,</w:t>
      </w:r>
      <w:r>
        <w:t xml:space="preserve"> </w:t>
      </w:r>
      <m:oMath>
        <m:sSub>
          <m:e>
            <m:r>
              <m:t>E</m:t>
            </m:r>
          </m:e>
          <m:sub>
            <m:r>
              <m:t>G</m:t>
            </m:r>
          </m:sub>
        </m:sSub>
      </m:oMath>
      <w:r>
        <w:t xml:space="preserve"> </w:t>
      </w:r>
      <w:r>
        <w:t xml:space="preserve">possède un noyau non trivial.</w:t>
      </w:r>
    </w:p>
    <w:bookmarkEnd w:id="86"/>
    <w:bookmarkStart w:id="87" w:name="t8-bornage-de-e_i"/>
    <w:p>
      <w:pPr>
        <w:pStyle w:val="Heading2"/>
      </w:pPr>
      <w:r>
        <w:t xml:space="preserve">T8 — Bornage de</w:t>
      </w:r>
      <w:r>
        <w:t xml:space="preserve"> </w:t>
      </w:r>
      <m:oMath>
        <m:sSub>
          <m:e>
            <m:r>
              <m:t>E</m:t>
            </m:r>
          </m:e>
          <m:sub>
            <m:r>
              <m:t>I</m:t>
            </m:r>
          </m:sub>
        </m:sSub>
      </m:oMath>
    </w:p>
    <w:p>
      <w:pPr>
        <w:pStyle w:val="FirstParagraph"/>
        <w:keepNext/>
      </w:pPr>
      <w:r>
        <w:t xml:space="preserve">Sous</w:t>
      </w:r>
      <w:r>
        <w:t xml:space="preserve"> </w:t>
      </w:r>
      <m:oMath>
        <m:d>
          <m:dPr>
            <m:begChr m:val="|"/>
            <m:endChr m:val="|"/>
            <m:sepChr m:val=""/>
            <m:grow/>
          </m:dPr>
          <m:e>
            <m:sSub>
              <m:e>
                <m:r>
                  <m:t>c</m:t>
                </m:r>
              </m:e>
              <m:sub>
                <m:r>
                  <m:t>j</m:t>
                </m:r>
              </m:sub>
            </m:sSub>
          </m:e>
        </m:d>
        <m:r>
          <m:rPr>
            <m:sty m:val="p"/>
          </m:rPr>
          <m:t>≤</m:t>
        </m:r>
        <m:r>
          <m:t>1</m:t>
        </m:r>
      </m:oMath>
      <w:r>
        <w:t xml:space="preserve">,</w:t>
      </w:r>
      <w:r>
        <w:t xml:space="preserve"> </w:t>
      </w:r>
      <m:oMath>
        <m:d>
          <m:dPr>
            <m:begChr m:val="|"/>
            <m:endChr m:val="|"/>
            <m:sepChr m:val=""/>
            <m:grow/>
          </m:dPr>
          <m:e>
            <m:r>
              <m:t>τ</m:t>
            </m:r>
          </m:e>
        </m:d>
        <m:r>
          <m:rPr>
            <m:sty m:val="p"/>
          </m:rPr>
          <m:t>≤</m:t>
        </m:r>
        <m:r>
          <m:t>1</m:t>
        </m:r>
      </m:oMath>
      <w:r>
        <w:t xml:space="preserve"> </w:t>
      </w:r>
      <w:r>
        <w:t xml:space="preserve">:</w:t>
      </w:r>
    </w:p>
    <w:p>
      <w:pPr>
        <w:pStyle w:val="BodyText"/>
      </w:pPr>
      <m:oMathPara>
        <m:oMathParaPr>
          <m:jc m:val="center"/>
        </m:oMathParaPr>
        <m:oMath>
          <m:d>
            <m:dPr>
              <m:begChr m:val="|"/>
              <m:endChr m:val="|"/>
              <m:sepChr m:val=""/>
              <m:grow/>
            </m:dPr>
            <m:e>
              <m:sSub>
                <m:e>
                  <m:r>
                    <m:t>E</m:t>
                  </m:r>
                </m:e>
                <m:sub>
                  <m:r>
                    <m:t>I</m:t>
                  </m:r>
                </m:sub>
              </m:sSub>
            </m:e>
          </m:d>
          <m:r>
            <m:rPr>
              <m:sty m:val="p"/>
            </m:rPr>
            <m:t>&lt;</m:t>
          </m:r>
          <m:r>
            <m:t>180</m:t>
          </m:r>
          <m:r>
            <m:rPr>
              <m:sty m:val="p"/>
            </m:rPr>
            <m:t>.</m:t>
          </m:r>
        </m:oMath>
      </m:oMathPara>
    </w:p>
    <w:bookmarkEnd w:id="87"/>
    <w:bookmarkStart w:id="88" w:name="t9-injectivité-conditionnelle-de-e_i"/>
    <w:p>
      <w:pPr>
        <w:pStyle w:val="Heading2"/>
      </w:pPr>
      <w:r>
        <w:t xml:space="preserve">T9 — Injectivité conditionnelle de</w:t>
      </w:r>
      <w:r>
        <w:t xml:space="preserve"> </w:t>
      </w:r>
      <m:oMath>
        <m:sSub>
          <m:e>
            <m:r>
              <m:t>E</m:t>
            </m:r>
          </m:e>
          <m:sub>
            <m:r>
              <m:t>I</m:t>
            </m:r>
          </m:sub>
        </m:sSub>
      </m:oMath>
    </w:p>
    <w:p>
      <w:pPr>
        <w:pStyle w:val="FirstParagraph"/>
      </w:pPr>
      <w:r>
        <w:t xml:space="preserve">Avec coefficients rationnels, séquence canonique unique, marqueur terminal rationnel non nul et</w:t>
      </w:r>
      <w:r>
        <w:t xml:space="preserve"> </w:t>
      </w:r>
      <m:oMath>
        <m:r>
          <m:t>α</m:t>
        </m:r>
        <m:r>
          <m:rPr>
            <m:sty m:val="p"/>
          </m:rPr>
          <m:t>=</m:t>
        </m:r>
        <m:sSup>
          <m:e>
            <m:r>
              <m:t>e</m:t>
            </m:r>
          </m:e>
          <m:sup>
            <m:r>
              <m:rPr>
                <m:sty m:val="p"/>
              </m:rPr>
              <m:t>−</m:t>
            </m:r>
            <m:r>
              <m:t>1</m:t>
            </m:r>
          </m:sup>
        </m:sSup>
      </m:oMath>
      <w:r>
        <w:t xml:space="preserve">, deux séquences distinctes ont des images distinctes.</w:t>
      </w:r>
    </w:p>
    <w:bookmarkEnd w:id="88"/>
    <w:bookmarkEnd w:id="89"/>
    <w:bookmarkStart w:id="94" w:name="questions-encore-ouvertes"/>
    <w:p>
      <w:pPr>
        <w:pStyle w:val="Heading1"/>
      </w:pPr>
      <w:r>
        <w:t xml:space="preserve">17. Questions encore ouvertes</w:t>
      </w:r>
    </w:p>
    <w:p>
      <w:pPr>
        <w:pStyle w:val="FirstParagraph"/>
      </w:pPr>
      <w:r>
        <w:t xml:space="preserve">La théorie est maintenant suffisamment structurée pour isoler précisément ce qui reste ouvert.</w:t>
      </w:r>
    </w:p>
    <w:bookmarkStart w:id="90" w:name="projection-géographique"/>
    <w:p>
      <w:pPr>
        <w:pStyle w:val="Heading2"/>
      </w:pPr>
      <w:r>
        <w:t xml:space="preserve">17.1. Projection géographique</w:t>
      </w:r>
    </w:p>
    <w:p>
      <w:pPr>
        <w:pStyle w:val="FirstParagraph"/>
      </w:pPr>
      <w:r>
        <w:t xml:space="preserve">Le choix concret</w:t>
      </w:r>
      <w:r>
        <w:t xml:space="preserve"> </w:t>
      </w:r>
      <m:oMath>
        <m:sSub>
          <m:e>
            <m:r>
              <m:t>E</m:t>
            </m:r>
          </m:e>
          <m:sub>
            <m:r>
              <m:t>G</m:t>
            </m:r>
          </m:sub>
        </m:sSub>
      </m:oMath>
      <w:r>
        <w:t xml:space="preserve"> </w:t>
      </w:r>
      <w:r>
        <w:t xml:space="preserve">satisfait compacité, bornage et injectivité sur le domaine rationnel déclaré.</w:t>
      </w:r>
    </w:p>
    <w:p>
      <w:pPr>
        <w:pStyle w:val="BodyText"/>
        <w:keepNext/>
      </w:pPr>
      <w:r>
        <w:t xml:space="preserve">Reste à déterminer si le contrat final exige également :</w:t>
      </w:r>
    </w:p>
    <w:p>
      <w:pPr>
        <w:pStyle w:val="Compact"/>
        <w:numPr>
          <w:ilvl w:val="0"/>
          <w:numId w:val="1018"/>
        </w:numPr>
      </w:pPr>
      <w:r>
        <w:t xml:space="preserve">préservation d’un voisinage ;</w:t>
      </w:r>
    </w:p>
    <w:p>
      <w:pPr>
        <w:pStyle w:val="Compact"/>
        <w:numPr>
          <w:ilvl w:val="0"/>
          <w:numId w:val="1018"/>
        </w:numPr>
      </w:pPr>
      <w:r>
        <w:t xml:space="preserve">stabilité sous certaines variations ;</w:t>
      </w:r>
    </w:p>
    <w:p>
      <w:pPr>
        <w:pStyle w:val="Compact"/>
        <w:numPr>
          <w:ilvl w:val="0"/>
          <w:numId w:val="1018"/>
        </w:numPr>
      </w:pPr>
      <w:r>
        <w:t xml:space="preserve">conservation d’un ordre ;</w:t>
      </w:r>
    </w:p>
    <w:p>
      <w:pPr>
        <w:pStyle w:val="Compact"/>
        <w:numPr>
          <w:ilvl w:val="0"/>
          <w:numId w:val="1018"/>
        </w:numPr>
      </w:pPr>
      <w:r>
        <w:t xml:space="preserve">autre propriété structurelle.</w:t>
      </w:r>
    </w:p>
    <w:p>
      <w:pPr>
        <w:pStyle w:val="FirstParagraph"/>
      </w:pPr>
      <w:r>
        <w:t xml:space="preserve">Aucune conservation exacte de la distance terrestre n’est requise par la théorie actuelle.</w:t>
      </w:r>
    </w:p>
    <w:bookmarkEnd w:id="90"/>
    <w:bookmarkStart w:id="91" w:name="projection-logique"/>
    <w:p>
      <w:pPr>
        <w:pStyle w:val="Heading2"/>
      </w:pPr>
      <w:r>
        <w:t xml:space="preserve">17.2. Projection logique</w:t>
      </w:r>
    </w:p>
    <w:p>
      <w:pPr>
        <w:pStyle w:val="FirstParagraph"/>
        <w:keepNext/>
      </w:pPr>
      <w:r>
        <w:t xml:space="preserve">La construction polynomiale</w:t>
      </w:r>
      <w:r>
        <w:t xml:space="preserve"> </w:t>
      </w:r>
      <m:oMath>
        <m:sSub>
          <m:e>
            <m:r>
              <m:t>E</m:t>
            </m:r>
          </m:e>
          <m:sub>
            <m:r>
              <m:t>I</m:t>
            </m:r>
          </m:sub>
        </m:sSub>
      </m:oMath>
      <w:r>
        <w:t xml:space="preserve"> </w:t>
      </w:r>
      <w:r>
        <w:t xml:space="preserve">reste incomplète tant que la fonction exacte :</w:t>
      </w:r>
    </w:p>
    <w:p>
      <w:pPr>
        <w:pStyle w:val="BodyText"/>
      </w:pPr>
      <m:oMathPara>
        <m:oMathParaPr>
          <m:jc m:val="center"/>
        </m:oMathParaPr>
        <m:oMath>
          <m:r>
            <m:rPr>
              <m:nor/>
              <m:sty m:val="p"/>
            </m:rPr>
            <m:t>nœud logique canonique</m:t>
          </m:r>
          <m:r>
            <m:rPr>
              <m:sty m:val="p"/>
            </m:rPr>
            <m:t>↦</m:t>
          </m:r>
          <m:sSub>
            <m:e>
              <m:r>
                <m:t>c</m:t>
              </m:r>
            </m:e>
            <m:sub>
              <m:r>
                <m:t>j</m:t>
              </m:r>
            </m:sub>
          </m:sSub>
        </m:oMath>
      </m:oMathPara>
    </w:p>
    <w:p>
      <w:pPr>
        <w:pStyle w:val="FirstParagraph"/>
      </w:pPr>
      <w:r>
        <w:t xml:space="preserve">n’est pas fixée.</w:t>
      </w:r>
    </w:p>
    <w:p>
      <w:pPr>
        <w:pStyle w:val="BodyText"/>
      </w:pPr>
      <w:r>
        <w:t xml:space="preserve">Cette définition doit être stable, déterministe, scheme-aware et indépendante du contexte utilisateur.</w:t>
      </w:r>
    </w:p>
    <w:bookmarkEnd w:id="91"/>
    <w:bookmarkStart w:id="92" w:name="temps-1"/>
    <w:p>
      <w:pPr>
        <w:pStyle w:val="Heading2"/>
      </w:pPr>
      <w:r>
        <w:t xml:space="preserve">17.3. Temps</w:t>
      </w:r>
    </w:p>
    <w:p>
      <w:pPr>
        <w:pStyle w:val="FirstParagraph"/>
        <w:keepNext/>
      </w:pPr>
      <w:r>
        <w:t xml:space="preserve">Il reste à déterminer quels secteurs disposent :</w:t>
      </w:r>
    </w:p>
    <w:p>
      <w:pPr>
        <w:pStyle w:val="Compact"/>
        <w:numPr>
          <w:ilvl w:val="0"/>
          <w:numId w:val="1019"/>
        </w:numPr>
      </w:pPr>
      <w:r>
        <w:t xml:space="preserve">d’un simple ordre ;</w:t>
      </w:r>
    </w:p>
    <w:p>
      <w:pPr>
        <w:pStyle w:val="Compact"/>
        <w:numPr>
          <w:ilvl w:val="0"/>
          <w:numId w:val="1019"/>
        </w:numPr>
      </w:pPr>
      <w:r>
        <w:t xml:space="preserve">d’une durée ;</w:t>
      </w:r>
    </w:p>
    <w:p>
      <w:pPr>
        <w:pStyle w:val="Compact"/>
        <w:numPr>
          <w:ilvl w:val="0"/>
          <w:numId w:val="1019"/>
        </w:numPr>
      </w:pPr>
      <w:r>
        <w:t xml:space="preserve">d’un paramètre réel ;</w:t>
      </w:r>
    </w:p>
    <w:p>
      <w:pPr>
        <w:pStyle w:val="Compact"/>
        <w:numPr>
          <w:ilvl w:val="0"/>
          <w:numId w:val="1019"/>
        </w:numPr>
      </w:pPr>
      <w:r>
        <w:t xml:space="preserve">d’une dynamique continue ;</w:t>
      </w:r>
    </w:p>
    <w:p>
      <w:pPr>
        <w:pStyle w:val="Compact"/>
        <w:numPr>
          <w:ilvl w:val="0"/>
          <w:numId w:val="1019"/>
        </w:numPr>
      </w:pPr>
      <w:r>
        <w:t xml:space="preserve">d’une dynamique discrète ;</w:t>
      </w:r>
    </w:p>
    <w:p>
      <w:pPr>
        <w:pStyle w:val="Compact"/>
        <w:numPr>
          <w:ilvl w:val="0"/>
          <w:numId w:val="1019"/>
        </w:numPr>
      </w:pPr>
      <w:r>
        <w:t xml:space="preserve">d’une combinaison hybride.</w:t>
      </w:r>
    </w:p>
    <w:bookmarkEnd w:id="92"/>
    <w:bookmarkStart w:id="93" w:name="lois-dynamiques"/>
    <w:p>
      <w:pPr>
        <w:pStyle w:val="Heading2"/>
      </w:pPr>
      <w:r>
        <w:t xml:space="preserve">17.4. Lois dynamiques</w:t>
      </w:r>
    </w:p>
    <w:p>
      <w:pPr>
        <w:pStyle w:val="FirstParagraph"/>
      </w:pPr>
      <w:r>
        <w:t xml:space="preserve">La structure géométrique est désormais suffisamment indépendante pour que la recherche de lois ne nécessite pas de réinventer la géométrie.</w:t>
      </w:r>
    </w:p>
    <w:p>
      <w:pPr>
        <w:pStyle w:val="BodyText"/>
      </w:pPr>
      <w:r>
        <w:t xml:space="preserve">En revanche, aucune loi universelle concrète ne doit être postulée sans phénomène correspondant.</w:t>
      </w:r>
    </w:p>
    <w:p>
      <w:pPr>
        <w:pStyle w:val="BodyText"/>
      </w:pPr>
      <w:r>
        <w:t xml:space="preserve">Les prochaines lois devront être obtenues par transposition de cadres physiques établis lorsque leurs hypothèses sont effectivement présentes dans un secteur Makolo.</w:t>
      </w:r>
    </w:p>
    <w:bookmarkEnd w:id="93"/>
    <w:bookmarkEnd w:id="94"/>
    <w:bookmarkStart w:id="95" w:name="statuts-finaux-proposés"/>
    <w:p>
      <w:pPr>
        <w:pStyle w:val="Heading1"/>
      </w:pPr>
      <w:r>
        <w:t xml:space="preserve">18. Statuts finaux proposés</w:t>
      </w:r>
    </w:p>
    <w:tbl>
      <w:tblPr>
        <w:tblStyle w:val="Table"/>
        <w:tblW w:type="pct" w:w="5000"/>
        <w:jc w:val="center"/>
        <w:tblLayout w:type="autofit"/>
        <w:tblLook w:firstRow="1" w:lastRow="0" w:firstColumn="0" w:lastColumn="0" w:noHBand="0" w:noVBand="0" w:val="0020"/>
        <w:tblBorders>
          <w:top w:val="single" w:sz="4" w:color="CBD5E1"/>
          <w:left w:val="single" w:sz="4" w:color="CBD5E1"/>
          <w:bottom w:val="single" w:sz="4" w:color="CBD5E1"/>
          <w:right w:val="single" w:sz="4" w:color="CBD5E1"/>
          <w:insideH w:val="single" w:sz="4" w:color="CBD5E1"/>
          <w:insideV w:val="single" w:sz="4" w:color="CBD5E1"/>
        </w:tblBorders>
      </w:tblPr>
      <w:tblGrid>
        <w:gridCol w:w="2640"/>
        <w:gridCol w:w="2640"/>
        <w:gridCol w:w="2640"/>
      </w:tblGrid>
      <w:tr>
        <w:trPr>
          <w:tblHeader w:val="on"/>
        </w:trPr>
        <w:tc>
          <w:tcPr>
            <w:vAlign w:val="center"/>
            <w:tcMar>
              <w:top w:w="90" w:type="dxa"/>
              <w:left w:w="90" w:type="dxa"/>
              <w:bottom w:w="90" w:type="dxa"/>
              <w:right w:w="90" w:type="dxa"/>
            </w:tcMar>
            <w:shd w:fill="2B176E"/>
          </w:tcPr>
          <w:p>
            <w:pPr>
              <w:pStyle w:val="Compact"/>
              <w:spacing w:after="40" w:before="20"/>
              <w:jc w:val="left"/>
            </w:pPr>
            <w:r>
              <w:rPr>
                <w:rFonts w:ascii="Aptos" w:hAnsi="Aptos" w:eastAsia="Aptos"/>
                <w:b/>
                <w:color w:val="FFFFFF"/>
                <w:sz w:val="17"/>
              </w:rPr>
              <w:t xml:space="preserve">Élément</w:t>
            </w:r>
          </w:p>
        </w:tc>
        <w:tc>
          <w:tcPr>
            <w:vAlign w:val="center"/>
            <w:tcMar>
              <w:top w:w="90" w:type="dxa"/>
              <w:left w:w="90" w:type="dxa"/>
              <w:bottom w:w="90" w:type="dxa"/>
              <w:right w:w="90" w:type="dxa"/>
            </w:tcMar>
            <w:shd w:fill="2B176E"/>
          </w:tcPr>
          <w:p>
            <w:pPr>
              <w:pStyle w:val="Compact"/>
              <w:spacing w:after="40" w:before="20"/>
              <w:jc w:val="left"/>
            </w:pPr>
            <w:r>
              <w:rPr>
                <w:rFonts w:ascii="Aptos" w:hAnsi="Aptos" w:eastAsia="Aptos"/>
                <w:b/>
                <w:color w:val="FFFFFF"/>
                <w:sz w:val="17"/>
              </w:rPr>
              <w:t xml:space="preserve">Statut proposé</w:t>
            </w:r>
          </w:p>
        </w:tc>
        <w:tc>
          <w:tcPr>
            <w:vAlign w:val="center"/>
            <w:tcMar>
              <w:top w:w="90" w:type="dxa"/>
              <w:left w:w="90" w:type="dxa"/>
              <w:bottom w:w="90" w:type="dxa"/>
              <w:right w:w="90" w:type="dxa"/>
            </w:tcMar>
            <w:shd w:fill="2B176E"/>
          </w:tcPr>
          <w:p>
            <w:pPr>
              <w:pStyle w:val="Compact"/>
              <w:spacing w:after="40" w:before="20"/>
              <w:jc w:val="left"/>
            </w:pPr>
            <w:r>
              <w:rPr>
                <w:rFonts w:ascii="Aptos" w:hAnsi="Aptos" w:eastAsia="Aptos"/>
                <w:b/>
                <w:color w:val="FFFFFF"/>
                <w:sz w:val="17"/>
              </w:rPr>
              <w:t xml:space="preserve">Nature</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séparation métier / backend / Univers</w:t>
            </w:r>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RETENU</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principe d’architecture</w:t>
            </w:r>
          </w:p>
        </w:tc>
      </w:tr>
      <w:tr>
        <w:tc>
          <w:tcPr>
            <w:vAlign w:val="center"/>
            <w:tcMar>
              <w:top w:w="90" w:type="dxa"/>
              <w:left w:w="90" w:type="dxa"/>
              <w:bottom w:w="90" w:type="dxa"/>
              <w:right w:w="90" w:type="dxa"/>
            </w:tcMar>
          </w:tcPr>
          <w:p>
            <w:pPr>
              <w:pStyle w:val="Compact"/>
              <w:spacing w:after="40" w:before="20"/>
              <w:jc w:val="left"/>
            </w:pPr>
            <m:oMath>
              <m:r>
                <m:t>p</m:t>
              </m:r>
              <m:r>
                <m:rPr>
                  <m:sty m:val="p"/>
                </m:rPr>
                <m:t>=</m:t>
              </m:r>
              <m:d>
                <m:dPr>
                  <m:begChr m:val="("/>
                  <m:endChr m:val=")"/>
                  <m:sepChr m:val=""/>
                  <m:grow/>
                </m:dPr>
                <m:e>
                  <m:r>
                    <m:t>g</m:t>
                  </m:r>
                  <m:r>
                    <m:rPr>
                      <m:sty m:val="p"/>
                    </m:rPr>
                    <m:t>,</m:t>
                  </m:r>
                  <m:r>
                    <m:t>i</m:t>
                  </m:r>
                </m:e>
              </m:d>
            </m:oMath>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RETENU</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définition constitutive</w:t>
            </w:r>
          </w:p>
        </w:tc>
      </w:tr>
      <w:tr>
        <w:tc>
          <w:tcPr>
            <w:vAlign w:val="center"/>
            <w:tcMar>
              <w:top w:w="90" w:type="dxa"/>
              <w:left w:w="90" w:type="dxa"/>
              <w:bottom w:w="90" w:type="dxa"/>
              <w:right w:w="90" w:type="dxa"/>
            </w:tcMar>
          </w:tcPr>
          <w:p>
            <w:pPr>
              <w:pStyle w:val="Compact"/>
              <w:spacing w:after="40" w:before="20"/>
              <w:jc w:val="left"/>
            </w:pPr>
            <m:oMath>
              <m:r>
                <m:t>g</m:t>
              </m:r>
              <m:r>
                <m:rPr>
                  <m:sty m:val="p"/>
                </m:rPr>
                <m:t>,</m:t>
              </m:r>
              <m:r>
                <m:t>i</m:t>
              </m:r>
              <m:r>
                <m:rPr>
                  <m:sty m:val="p"/>
                </m:rPr>
                <m:t>∈</m:t>
              </m:r>
              <m:r>
                <m:rPr>
                  <m:sty m:val="p"/>
                  <m:scr m:val="double-struck"/>
                </m:rPr>
                <m:t>R</m:t>
              </m:r>
            </m:oMath>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RETENU</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décision de représentation</w:t>
            </w:r>
          </w:p>
        </w:tc>
      </w:tr>
      <w:tr>
        <w:tc>
          <w:tcPr>
            <w:vAlign w:val="center"/>
            <w:tcMar>
              <w:top w:w="90" w:type="dxa"/>
              <w:left w:w="90" w:type="dxa"/>
              <w:bottom w:w="90" w:type="dxa"/>
              <w:right w:w="90" w:type="dxa"/>
            </w:tcMar>
          </w:tcPr>
          <w:p>
            <w:pPr>
              <w:pStyle w:val="Compact"/>
              <w:spacing w:after="40" w:before="20"/>
              <w:jc w:val="left"/>
            </w:pPr>
            <m:oMath>
              <m:sSub>
                <m:e>
                  <m:r>
                    <m:rPr>
                      <m:sty m:val="p"/>
                    </m:rPr>
                    <m:t>⊥</m:t>
                  </m:r>
                </m:e>
                <m:sub>
                  <m:r>
                    <m:t>G</m:t>
                  </m:r>
                </m:sub>
              </m:sSub>
              <m:r>
                <m:rPr>
                  <m:sty m:val="p"/>
                </m:rPr>
                <m:t>,</m:t>
              </m:r>
              <m:sSub>
                <m:e>
                  <m:r>
                    <m:rPr>
                      <m:sty m:val="p"/>
                    </m:rPr>
                    <m:t>⊥</m:t>
                  </m:r>
                </m:e>
                <m:sub>
                  <m:r>
                    <m:t>I</m:t>
                  </m:r>
                </m:sub>
              </m:sSub>
              <m:r>
                <m:rPr>
                  <m:sty m:val="p"/>
                </m:rPr>
                <m:t>≠</m:t>
              </m:r>
              <m:r>
                <m:t>0</m:t>
              </m:r>
            </m:oMath>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RETENU</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définition typée</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espace stratifié</w:t>
            </w:r>
            <w:r>
              <w:rPr>
                <w:rFonts w:ascii="Aptos" w:hAnsi="Aptos" w:eastAsia="Aptos"/>
                <w:b w:val="0"/>
                <w:color w:val="0F172A"/>
                <w:sz w:val="17"/>
              </w:rPr>
              <w:t xml:space="preserve"> </w:t>
            </w:r>
            <m:oMath>
              <m:sSub>
                <m:e>
                  <m:r>
                    <m:rPr>
                      <m:sty m:val="p"/>
                      <m:scr m:val="script"/>
                    </m:rPr>
                    <m:t>P</m:t>
                  </m:r>
                </m:e>
                <m:sub>
                  <m:r>
                    <m:t>M</m:t>
                  </m:r>
                </m:sub>
              </m:sSub>
            </m:oMath>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RETENU</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dérivation structurelle</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plan affine du secteur complet</w:t>
            </w:r>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RETENU</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décision constitutive</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produit scalaire euclidien interne</w:t>
            </w:r>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RETENU</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décision constitutive</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distance interne</w:t>
            </w:r>
            <w:r>
              <w:rPr>
                <w:rFonts w:ascii="Aptos" w:hAnsi="Aptos" w:eastAsia="Aptos"/>
                <w:b w:val="0"/>
                <w:color w:val="0F172A"/>
                <w:sz w:val="17"/>
              </w:rPr>
              <w:t xml:space="preserve"> </w:t>
            </w:r>
            <m:oMath>
              <m:sSub>
                <m:e>
                  <m:r>
                    <m:t>d</m:t>
                  </m:r>
                </m:e>
                <m:sub>
                  <m:r>
                    <m:t>M</m:t>
                  </m:r>
                </m:sub>
              </m:sSub>
            </m:oMath>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RETENU</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définition dérivée</w:t>
            </w:r>
          </w:p>
        </w:tc>
      </w:tr>
      <w:tr>
        <w:tc>
          <w:tcPr>
            <w:vAlign w:val="center"/>
            <w:tcMar>
              <w:top w:w="90" w:type="dxa"/>
              <w:left w:w="90" w:type="dxa"/>
              <w:bottom w:w="90" w:type="dxa"/>
              <w:right w:w="90" w:type="dxa"/>
            </w:tcMar>
          </w:tcPr>
          <w:p>
            <w:pPr>
              <w:pStyle w:val="Compact"/>
              <w:spacing w:after="40" w:before="20"/>
              <w:jc w:val="left"/>
            </w:pPr>
            <m:oMath>
              <m:r>
                <m:t>G</m:t>
              </m:r>
              <m:r>
                <m:rPr>
                  <m:sty m:val="p"/>
                </m:rPr>
                <m:t>⊥</m:t>
              </m:r>
              <m:r>
                <m:t>I</m:t>
              </m:r>
            </m:oMath>
            <w:r>
              <w:rPr>
                <w:rFonts w:ascii="Aptos" w:hAnsi="Aptos" w:eastAsia="Aptos"/>
                <w:b w:val="0"/>
                <w:color w:val="0F172A"/>
                <w:sz w:val="17"/>
              </w:rPr>
              <w:t xml:space="preserve"> </w:t>
            </w:r>
            <w:r>
              <w:rPr>
                <w:rFonts w:ascii="Aptos" w:hAnsi="Aptos" w:eastAsia="Aptos"/>
                <w:b w:val="0"/>
                <w:color w:val="0F172A"/>
                <w:sz w:val="17"/>
              </w:rPr>
              <w:t xml:space="preserve">et</w:t>
            </w:r>
            <w:r>
              <w:rPr>
                <w:rFonts w:ascii="Aptos" w:hAnsi="Aptos" w:eastAsia="Aptos"/>
                <w:b w:val="0"/>
                <w:color w:val="0F172A"/>
                <w:sz w:val="17"/>
              </w:rPr>
              <w:t xml:space="preserve"> </w:t>
            </w:r>
            <m:oMath>
              <m:r>
                <m:t>1</m:t>
              </m:r>
              <m:r>
                <m:t>G</m:t>
              </m:r>
              <m:r>
                <m:rPr>
                  <m:sty m:val="p"/>
                </m:rPr>
                <m:t>=</m:t>
              </m:r>
              <m:r>
                <m:t>1</m:t>
              </m:r>
              <m:r>
                <m:t>I</m:t>
              </m:r>
            </m:oMath>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RETENU</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conséquence de la métrique choisie</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interprétation de</w:t>
            </w:r>
            <w:r>
              <w:rPr>
                <w:rFonts w:ascii="Aptos" w:hAnsi="Aptos" w:eastAsia="Aptos"/>
                <w:b w:val="0"/>
                <w:color w:val="0F172A"/>
                <w:sz w:val="17"/>
              </w:rPr>
              <w:t xml:space="preserve"> </w:t>
            </w:r>
            <m:oMath>
              <m:sSub>
                <m:e>
                  <m:r>
                    <m:t>d</m:t>
                  </m:r>
                </m:e>
                <m:sub>
                  <m:r>
                    <m:t>M</m:t>
                  </m:r>
                </m:sub>
              </m:sSub>
            </m:oMath>
            <w:r>
              <w:rPr>
                <w:rFonts w:ascii="Aptos" w:hAnsi="Aptos" w:eastAsia="Aptos"/>
                <w:b w:val="0"/>
                <w:color w:val="0F172A"/>
                <w:sz w:val="17"/>
              </w:rPr>
              <w:t xml:space="preserve"> </w:t>
            </w:r>
            <w:r>
              <w:rPr>
                <w:rFonts w:ascii="Aptos" w:hAnsi="Aptos" w:eastAsia="Aptos"/>
                <w:b w:val="0"/>
                <w:color w:val="0F172A"/>
                <w:sz w:val="17"/>
              </w:rPr>
              <w:t xml:space="preserve">comme km/difficulté/effort</w:t>
            </w:r>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SANS ÉQUIVALENT</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non impliquée</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projection</w:t>
            </w:r>
            <w:r>
              <w:rPr>
                <w:rFonts w:ascii="Aptos" w:hAnsi="Aptos" w:eastAsia="Aptos"/>
                <w:b w:val="0"/>
                <w:color w:val="0F172A"/>
                <w:sz w:val="17"/>
              </w:rPr>
              <w:t xml:space="preserve"> </w:t>
            </w:r>
            <m:oMath>
              <m:sSub>
                <m:e>
                  <m:r>
                    <m:t>E</m:t>
                  </m:r>
                </m:e>
                <m:sub>
                  <m:r>
                    <m:t>G</m:t>
                  </m:r>
                </m:sub>
              </m:sSub>
            </m:oMath>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CANDIDAT</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réalisation de projection</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projection</w:t>
            </w:r>
            <w:r>
              <w:rPr>
                <w:rFonts w:ascii="Aptos" w:hAnsi="Aptos" w:eastAsia="Aptos"/>
                <w:b w:val="0"/>
                <w:color w:val="0F172A"/>
                <w:sz w:val="17"/>
              </w:rPr>
              <w:t xml:space="preserve"> </w:t>
            </w:r>
            <m:oMath>
              <m:sSub>
                <m:e>
                  <m:r>
                    <m:t>E</m:t>
                  </m:r>
                </m:e>
                <m:sub>
                  <m:r>
                    <m:t>I</m:t>
                  </m:r>
                </m:sub>
              </m:sSub>
            </m:oMath>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CANDIDAT</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réalisation de projection</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attribution exacte des</w:t>
            </w:r>
            <w:r>
              <w:rPr>
                <w:rFonts w:ascii="Aptos" w:hAnsi="Aptos" w:eastAsia="Aptos"/>
                <w:b w:val="0"/>
                <w:color w:val="0F172A"/>
                <w:sz w:val="17"/>
              </w:rPr>
              <w:t xml:space="preserve"> </w:t>
            </w:r>
            <m:oMath>
              <m:sSub>
                <m:e>
                  <m:r>
                    <m:t>c</m:t>
                  </m:r>
                </m:e>
                <m:sub>
                  <m:r>
                    <m:t>j</m:t>
                  </m:r>
                </m:sub>
              </m:sSub>
            </m:oMath>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À DÉTERMINER</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projection logique</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structure générale</w:t>
            </w:r>
            <w:r>
              <w:rPr>
                <w:rFonts w:ascii="Aptos" w:hAnsi="Aptos" w:eastAsia="Aptos"/>
                <w:b w:val="0"/>
                <w:color w:val="0F172A"/>
                <w:sz w:val="17"/>
              </w:rPr>
              <w:t xml:space="preserve"> </w:t>
            </w:r>
            <m:oMath>
              <m:r>
                <m:rPr>
                  <m:sty m:val="p"/>
                  <m:scr m:val="script"/>
                </m:rPr>
                <m:t>D</m:t>
              </m:r>
            </m:oMath>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RETENU</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dynamique abstraite</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H1/H2/H3</w:t>
            </w:r>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CANDIDAT</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lois candidates</w:t>
            </w:r>
          </w:p>
        </w:tc>
      </w:tr>
      <w:tr>
        <w:tc>
          <w:tcPr>
            <w:vAlign w:val="center"/>
            <w:tcMar>
              <w:top w:w="90" w:type="dxa"/>
              <w:left w:w="90" w:type="dxa"/>
              <w:bottom w:w="90" w:type="dxa"/>
              <w:right w:w="90" w:type="dxa"/>
            </w:tcMar>
          </w:tcPr>
          <w:p>
            <w:pPr>
              <w:pStyle w:val="Compact"/>
              <w:spacing w:after="40" w:before="20"/>
              <w:jc w:val="left"/>
            </w:pPr>
            <m:oMath>
              <m:sSub>
                <m:e>
                  <m:r>
                    <m:t>L</m:t>
                  </m:r>
                </m:e>
                <m:sub>
                  <m:r>
                    <m:t>1</m:t>
                  </m:r>
                </m:sub>
              </m:sSub>
            </m:oMath>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À DÉTERMINER</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loi dynamique</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mécanique newtonienne universelle</w:t>
            </w:r>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SANS ÉQUIVALENT</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non justifiée</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masse/énergie/momentum universels</w:t>
            </w:r>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SANS ÉQUIVALENT</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non dérivés</w:t>
            </w:r>
          </w:p>
        </w:tc>
      </w:tr>
      <w:tr>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Lagrange/Hamilton/Noether sectoriels</w:t>
            </w:r>
          </w:p>
        </w:tc>
        <w:tc>
          <w:tcPr>
            <w:vAlign w:val="center"/>
            <w:tcMar>
              <w:top w:w="90" w:type="dxa"/>
              <w:left w:w="90" w:type="dxa"/>
              <w:bottom w:w="90" w:type="dxa"/>
              <w:right w:w="90" w:type="dxa"/>
            </w:tcMar>
          </w:tcPr>
          <w:p>
            <w:pPr>
              <w:pStyle w:val="Compact"/>
              <w:spacing w:after="40" w:before="20"/>
              <w:jc w:val="left"/>
            </w:pPr>
            <w:r>
              <w:rPr>
                <w:rStyle w:val="VerbatimChar"/>
                <w:rFonts w:ascii="Aptos" w:hAnsi="Aptos" w:eastAsia="Aptos"/>
                <w:b w:val="0"/>
                <w:color w:val="0F172A"/>
                <w:sz w:val="17"/>
              </w:rPr>
              <w:t xml:space="preserve">À DÉTERMINER</w:t>
            </w:r>
          </w:p>
        </w:tc>
        <w:tc>
          <w:tcPr>
            <w:vAlign w:val="center"/>
            <w:tcMar>
              <w:top w:w="90" w:type="dxa"/>
              <w:left w:w="90" w:type="dxa"/>
              <w:bottom w:w="90" w:type="dxa"/>
              <w:right w:w="90" w:type="dxa"/>
            </w:tcMar>
          </w:tcPr>
          <w:p>
            <w:pPr>
              <w:pStyle w:val="Compact"/>
              <w:spacing w:after="40" w:before="20"/>
              <w:jc w:val="left"/>
            </w:pPr>
            <w:r>
              <w:rPr>
                <w:rFonts w:ascii="Aptos" w:hAnsi="Aptos" w:eastAsia="Aptos"/>
                <w:b w:val="0"/>
                <w:color w:val="0F172A"/>
                <w:sz w:val="17"/>
              </w:rPr>
              <w:t xml:space="preserve">transposition conditionnelle</w:t>
            </w:r>
          </w:p>
        </w:tc>
      </w:tr>
    </w:tbl>
    <w:bookmarkEnd w:id="95"/>
    <w:bookmarkStart w:id="96" w:name="conclusion"/>
    <w:p>
      <w:pPr>
        <w:pStyle w:val="Heading1"/>
      </w:pPr>
      <w:r>
        <w:t xml:space="preserve">19. Conclusion</w:t>
      </w:r>
    </w:p>
    <w:p>
      <w:pPr>
        <w:pStyle w:val="FirstParagraph"/>
        <w:keepNext/>
      </w:pPr>
      <w:r>
        <w:t xml:space="preserve">La clarification centrale de cette version est la suivante :</w:t>
      </w:r>
    </w:p>
    <w:p>
      <w:pPr>
        <w:pStyle w:val="BodyText"/>
      </w:pPr>
      <m:oMathPara>
        <m:oMathParaPr>
          <m:jc m:val="center"/>
        </m:oMathParaPr>
        <m:oMath>
          <m:borderBox>
            <m:e>
              <m:r>
                <m:rPr>
                  <m:nor/>
                  <m:sty m:val="p"/>
                </m:rPr>
                <m:t>la géométrie Makolo est une structure interne du modèle,</m:t>
              </m:r>
              <m:r>
                <m:rPr>
                  <m:nor/>
                  <m:sty m:val="p"/>
                </m:rPr>
                <m:t> pas une copie de la géométrie des sources.</m:t>
              </m:r>
            </m:e>
          </m:borderBox>
        </m:oMath>
      </m:oMathPara>
    </w:p>
    <w:p>
      <w:pPr>
        <w:pStyle w:val="FirstParagraph"/>
      </w:pPr>
      <w:r>
        <w:t xml:space="preserve">Le rôle des projections est de faire entrer des faits sources dans cette structure selon un contrat explicite. Une fois les coordonnées obtenues, la théorie travaille sur</w:t>
      </w:r>
      <w:r>
        <w:t xml:space="preserve"> </w:t>
      </w:r>
      <m:oMath>
        <m:r>
          <m:t>g</m:t>
        </m:r>
      </m:oMath>
      <w:r>
        <w:t xml:space="preserve">,</w:t>
      </w:r>
      <w:r>
        <w:t xml:space="preserve"> </w:t>
      </w:r>
      <m:oMath>
        <m:r>
          <m:t>i</m:t>
        </m:r>
      </m:oMath>
      <w:r>
        <w:t xml:space="preserve">, les Corps, les états et les relations de l’Univers Makolo.</w:t>
      </w:r>
    </w:p>
    <w:p>
      <w:pPr>
        <w:pStyle w:val="BodyText"/>
      </w:pPr>
      <w:r>
        <w:t xml:space="preserve">Le plan euclidien complet est donc légitime comme</w:t>
      </w:r>
      <w:r>
        <w:t xml:space="preserve"> </w:t>
      </w:r>
      <w:r>
        <w:rPr>
          <w:b/>
          <w:bCs/>
        </w:rPr>
        <w:t xml:space="preserve">choix constitutif</w:t>
      </w:r>
      <w:r>
        <w:t xml:space="preserve">, sans avoir à prouver que la Terre ou l’espace des URI sont eux-mêmes euclidiens au sens Makolo. Les projections</w:t>
      </w:r>
      <w:r>
        <w:t xml:space="preserve"> </w:t>
      </w:r>
      <m:oMath>
        <m:sSub>
          <m:e>
            <m:r>
              <m:t>E</m:t>
            </m:r>
          </m:e>
          <m:sub>
            <m:r>
              <m:t>G</m:t>
            </m:r>
          </m:sub>
        </m:sSub>
      </m:oMath>
      <w:r>
        <w:t xml:space="preserve"> </w:t>
      </w:r>
      <w:r>
        <w:t xml:space="preserve">et</w:t>
      </w:r>
      <w:r>
        <w:t xml:space="preserve"> </w:t>
      </w:r>
      <m:oMath>
        <m:sSub>
          <m:e>
            <m:r>
              <m:t>E</m:t>
            </m:r>
          </m:e>
          <m:sub>
            <m:r>
              <m:t>I</m:t>
            </m:r>
          </m:sub>
        </m:sSub>
      </m:oMath>
      <w:r>
        <w:t xml:space="preserve">, en revanche, restent des objets scientifiques à contrôler : stabilité, injectivité sur leur domaine, bornage et propriétés structurelles qu’elles prétendent préserver.</w:t>
      </w:r>
    </w:p>
    <w:p>
      <w:pPr>
        <w:pStyle w:val="BodyText"/>
      </w:pPr>
      <w:r>
        <w:t xml:space="preserve">Cette distinction résout l’ambiguïté qui subsistait entre « valider Euclide par des données extérieures » et « choisir Euclide comme géométrie interne ». Dans la présente théorie, Euclide est la géométrie interne du secteur complet ; ce qui doit encore être étudié est la qualité des projections et la dynamique qui s’exerce dans cet espace.</w:t>
      </w:r>
    </w:p>
    <w:p>
      <w:pPr>
        <w:pStyle w:val="BodyText"/>
      </w:pPr>
      <w:r>
        <w:t xml:space="preserve">La suite de la recherche peut ainsi utiliser les mathématiques et les physiques établies sans recommencer à zéro : géométrie euclidienne pour la structure spatiale interne, cinématique classique lorsque le temps et la régularité le permettent, puis cadres dynamiques établis seulement dans les secteurs où leurs hypothèses apparaissent réellement.</w:t>
      </w:r>
    </w:p>
    <w:bookmarkEnd w:id="96"/>
    <w:bookmarkStart w:id="97" w:name="références-normatives-et-scientifiques"/>
    <w:p>
      <w:pPr>
        <w:pStyle w:val="Heading1"/>
      </w:pPr>
      <w:r>
        <w:t xml:space="preserve">Références normatives et scientifiques</w:t>
      </w:r>
    </w:p>
    <w:p>
      <w:pPr>
        <w:pStyle w:val="Compact"/>
        <w:numPr>
          <w:ilvl w:val="0"/>
          <w:numId w:val="1020"/>
        </w:numPr>
      </w:pPr>
      <w:r>
        <w:t xml:space="preserve">T. Berners-Lee, R. Fielding, L. Masinter,</w:t>
      </w:r>
      <w:r>
        <w:t xml:space="preserve"> </w:t>
      </w:r>
      <w:r>
        <w:rPr>
          <w:b/>
          <w:bCs/>
        </w:rPr>
        <w:t xml:space="preserve">RFC 3986 — Uniform Resource Identifier (URI): Generic Syntax</w:t>
      </w:r>
      <w:r>
        <w:t xml:space="preserve">, IETF, 2005.</w:t>
      </w:r>
    </w:p>
    <w:p>
      <w:pPr>
        <w:pStyle w:val="Compact"/>
        <w:numPr>
          <w:ilvl w:val="0"/>
          <w:numId w:val="1020"/>
        </w:numPr>
      </w:pPr>
      <w:r>
        <w:t xml:space="preserve">National Geospatial-Intelligence Agency,</w:t>
      </w:r>
      <w:r>
        <w:t xml:space="preserve"> </w:t>
      </w:r>
      <w:r>
        <w:rPr>
          <w:b/>
          <w:bCs/>
        </w:rPr>
        <w:t xml:space="preserve">World Geodetic System 1984 (WGS 84)</w:t>
      </w:r>
      <w:r>
        <w:t xml:space="preserve">, documentation officielle.</w:t>
      </w:r>
    </w:p>
    <w:p>
      <w:pPr>
        <w:pStyle w:val="Compact"/>
        <w:numPr>
          <w:ilvl w:val="0"/>
          <w:numId w:val="1020"/>
        </w:numPr>
      </w:pPr>
      <w:r>
        <w:t xml:space="preserve">NOAA / National Geodetic Survey, documentation</w:t>
      </w:r>
      <w:r>
        <w:t xml:space="preserve"> </w:t>
      </w:r>
      <w:r>
        <w:rPr>
          <w:b/>
          <w:bCs/>
        </w:rPr>
        <w:t xml:space="preserve">INVERSE/FORWARD</w:t>
      </w:r>
      <w:r>
        <w:t xml:space="preserve"> </w:t>
      </w:r>
      <w:r>
        <w:t xml:space="preserve">pour les calculs géodésiques.</w:t>
      </w:r>
    </w:p>
    <w:p>
      <w:pPr>
        <w:pStyle w:val="Compact"/>
        <w:numPr>
          <w:ilvl w:val="0"/>
          <w:numId w:val="1020"/>
        </w:numPr>
      </w:pPr>
      <w:r>
        <w:t xml:space="preserve">Résultats classiques de géométrie affine et euclidienne : espaces affines réels, produits scalaires, normes, isométries orthogonales et théorème de Pythagore.</w:t>
      </w:r>
    </w:p>
    <w:p>
      <w:pPr>
        <w:pStyle w:val="Compact"/>
        <w:numPr>
          <w:ilvl w:val="0"/>
          <w:numId w:val="1020"/>
        </w:numPr>
      </w:pPr>
      <w:r>
        <w:t xml:space="preserve">Résultat classique de transcendance :</w:t>
      </w:r>
      <w:r>
        <w:t xml:space="preserve"> </w:t>
      </w:r>
      <m:oMath>
        <m:r>
          <m:t>e</m:t>
        </m:r>
      </m:oMath>
      <w:r>
        <w:t xml:space="preserve"> </w:t>
      </w:r>
      <w:r>
        <w:t xml:space="preserve">est transcendant ; par conséquent</w:t>
      </w:r>
      <w:r>
        <w:t xml:space="preserve"> </w:t>
      </w:r>
      <m:oMath>
        <m:sSup>
          <m:e>
            <m:r>
              <m:t>e</m:t>
            </m:r>
          </m:e>
          <m:sup>
            <m:r>
              <m:rPr>
                <m:sty m:val="p"/>
              </m:rPr>
              <m:t>−</m:t>
            </m:r>
            <m:r>
              <m:t>1</m:t>
            </m:r>
          </m:sup>
        </m:sSup>
      </m:oMath>
      <w:r>
        <w:t xml:space="preserve"> </w:t>
      </w:r>
      <w:r>
        <w:t xml:space="preserve">l’est également.</w:t>
      </w:r>
    </w:p>
    <w:p>
      <w:pPr>
        <w:pStyle w:val="Compact"/>
        <w:numPr>
          <w:ilvl w:val="0"/>
          <w:numId w:val="1020"/>
        </w:numPr>
      </w:pPr>
      <w:r>
        <w:t xml:space="preserve">Corpus scientifique Makolo : socle consolidé, théorie unifiée corrigée, PointMakolo, rapport LAPM A–J, annexe d’audit et diff canonique proposé.</w:t>
      </w:r>
    </w:p>
    <w:bookmarkEnd w:id="97"/>
    <w:sectPr>
      <w:footerReference w:type="default" r:id="rId9"/>
      <w:pgMar w:top="1080" w:bottom="1008"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color w:val="475569"/>
        <w:sz w:val="16"/>
      </w:rPr>
      <w:t>Univers Makolo — théorie physico-géométrique consolidée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9" w:lineRule="auto"/>
    </w:pPr>
    <w:rPr>
      <w:rFonts w:ascii="Aptos" w:hAnsi="Aptos"/>
      <w:color w:val="0F172A"/>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00" w:before="0"/>
      <w:jc w:val="center"/>
    </w:pPr>
    <w:rPr>
      <w:rFonts w:asciiTheme="majorHAnsi" w:cstheme="majorBidi" w:eastAsiaTheme="majorEastAsia" w:hAnsiTheme="majorHAnsi" w:ascii="Aptos Display" w:hAnsi="Aptos Display"/>
      <w:b/>
      <w:bCs/>
      <w:color w:val="2B176E"/>
      <w:sz w:val="50"/>
      <w:szCs w:val="36"/>
    </w:rPr>
  </w:style>
  <w:style w:styleId="Subtitle" w:type="paragraph">
    <w:name w:val="Subtitle"/>
    <w:basedOn w:val="Title"/>
    <w:next w:val="BodyText"/>
    <w:qFormat/>
    <w:pPr>
      <w:keepNext/>
      <w:keepLines/>
      <w:spacing w:after="160" w:before="0"/>
      <w:jc w:val="center"/>
    </w:pPr>
    <w:rPr>
      <w:rFonts w:ascii="Aptos" w:hAnsi="Aptos"/>
      <w:b/>
      <w:color w:val="5232DB"/>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MakoloCallout">
    <w:name w:val="Makolo Callout"/>
    <w:pPr>
      <w:spacing w:before="140" w:after="140"/>
      <w:ind w:left="259" w:right="173"/>
    </w:pPr>
    <w:rPr>
      <w:rFonts w:ascii="Aptos" w:hAnsi="Aptos"/>
      <w:b/>
      <w:color w:val="2B176E"/>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 Makolo — Théorie physico-géométrique consolidée</dc:title>
  <dc:creator>Makolo</dc:creator>
  <cp:keywords/>
  <dcterms:created xsi:type="dcterms:W3CDTF">2026-09-14T17:20:21Z</dcterms:created>
  <dcterms:modified xsi:type="dcterms:W3CDTF">2026-09-14T17:20:21Z</dcterms:modified>
  <dc:subject>Cadre scientifique consolidé de représentation, géométrie et dynamique</dc:subject>
  <dc:description/>
</cp:coreProperties>
</file>

<file path=docProps/custom.xml><?xml version="1.0" encoding="utf-8"?>
<Properties xmlns="http://schemas.openxmlformats.org/officeDocument/2006/custom-properties" xmlns:vt="http://schemas.openxmlformats.org/officeDocument/2006/docPropsVTypes"/>
</file>