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480"/>
        <w:jc w:val="center"/>
      </w:pPr>
      <w:r>
        <w:rPr>
          <w:rFonts w:ascii="Arial" w:cs="Arial" w:eastAsia="Arial" w:hAnsi="Arial"/>
          <w:b/>
          <w:bCs/>
          <w:color w:val="1F3864"/>
          <w:sz w:val="56"/>
          <w:szCs w:val="56"/>
        </w:rPr>
        <w:t xml:space="preserve">DC-CM-GOV-002</w:t>
      </w:r>
    </w:p>
    <w:p>
      <w:pPr>
        <w:spacing w:after="40" w:before="0"/>
        <w:jc w:val="center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D-CENTRAL GROUP</w:t>
      </w:r>
    </w:p>
    <w:p>
      <w:pPr>
        <w:spacing w:after="40" w:before="0"/>
        <w:jc w:val="center"/>
      </w:pPr>
      <w:r>
        <w:rPr>
          <w:rFonts w:ascii="Arial" w:cs="Arial" w:eastAsia="Arial" w:hAnsi="Arial"/>
          <w:b/>
          <w:bCs/>
          <w:color w:val="1F3864"/>
          <w:sz w:val="40"/>
          <w:szCs w:val="40"/>
        </w:rPr>
        <w:t xml:space="preserve">CivicMesh Inc. / TrafficMesh Technologies Inc.</w:t>
      </w:r>
    </w:p>
    <w:p>
      <w:pPr>
        <w:spacing w:after="300" w:before="0"/>
        <w:jc w:val="center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CivicMesh Community Audit Framework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Document ID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DC-CM-GOV-002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Version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1.0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Status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Draft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Date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May 2026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Author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Toussaint Redji Jean Baptiste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Classification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Confidential — Technical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SR&amp;ED Eligibility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Minimal — governance document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Related Documents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DC-CM-GOV-003 | DC-CM-PRV-001 | REG-CM-001 | LEGAL-CCSC-001</w:t>
            </w:r>
          </w:p>
        </w:tc>
      </w:tr>
    </w:tbl>
    <w:p>
      <w:pPr>
        <w:spacing w:after="0" w:before="200"/>
      </w:pPr>
      <w:r>
        <w:t xml:space="preserve"/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1. Annual Audit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Audit Scope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(1) Data flows: confirm all data flows match documented architecture; (2) Federation events: verify all upward federation events were authorized, logged, and notified; (3) Retention compliance: confirm data deleted within configured retention periods; (4) Consent compliance: verify all data access has valid consent records; (5) AI model performance: review false positive and dismissal rates; (6) Privacy complaints: review resolution of all privacy complaints received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Auditor Selection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Independent auditor selected by CCSC board from a pre-approved list. D-Central is not involved in auditor selection. D-Central may submit a proposal if invited but cannot be the sole approved auditor.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Access Rights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Auditor has read-only access to: federation event log (full detail), consent records, retention TTL configuration and execution logs, privacy complaint register, AI model performance metrics. No access to: evidence package content, personal data of individual members.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Timing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Annual, within 6 months of fiscal year end. Report completed 30 days before CCSC AGM for member review.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2. Community Right to Audit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Individual Member Rights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Any CCSC member may request their personal audit record: all data held about them, all federation events involving their data, all consent records. Fulfilled within 30 days.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Community Collective Rights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CCSC board may commission an extraordinary audit at any time if 20%+ of members petition for one. D-Central must cooperate with extraordinary audit access within 10 business days.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Results Publication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Annual audit results (summary findings, pass/fail by category, any corrective actions) published in annual transparency report and on civicmesh.ca/audits. Full report available to CCSC members on request.</w:t>
            </w:r>
          </w:p>
        </w:tc>
      </w:tr>
    </w:tbl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Document Control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600"/>
        <w:gridCol w:w="2400"/>
        <w:gridCol w:w="4460"/>
      </w:tblGrid>
      <w:tr>
        <w:trPr>
          <w:tblHeader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Author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1.0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May 2026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Toussaint Redji Jean Baptiste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Initial release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Classification Notice — This document is CONFIDENTIAL and intended for internal use, legal counsel, and authorized personnel only. Distribution requires written authorization from Toussaint Redji Jean Baptiste.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6" w:space="1"/>
      </w:pBdr>
      <w:tabs>
        <w:tab w:val="right" w:pos="9360"/>
      </w:tabs>
      <w:spacing w:after="0" w:before="80"/>
    </w:pPr>
    <w:r>
      <w:rPr>
        <w:rFonts w:ascii="Arial" w:cs="Arial" w:eastAsia="Arial" w:hAnsi="Arial"/>
        <w:color w:val="595959"/>
        <w:sz w:val="16"/>
        <w:szCs w:val="16"/>
      </w:rPr>
      <w:t xml:space="preserve">Toussaint Redji Jean Baptiste  |  D-Central Ecosystem  |  May 2026</w:t>
    </w:r>
    <w:r>
      <w:rPr>
        <w:rFonts w:ascii="Arial" w:cs="Arial" w:eastAsia="Arial" w:hAnsi="Arial"/>
        <w:color w:val="595959"/>
        <w:sz w:val="16"/>
        <w:szCs w:val="16"/>
      </w:rPr>
      <w:t xml:space="preserve">	Page </w:t>
    </w:r>
    <w:r>
      <w:rPr>
        <w:rFonts w:ascii="Arial" w:cs="Arial" w:eastAsia="Arial" w:hAnsi="Arial"/>
        <w:color w:val="59595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595959"/>
        <w:sz w:val="16"/>
        <w:szCs w:val="16"/>
      </w:rPr>
      <w:t xml:space="preserve"> of </w:t>
    </w:r>
    <w:r>
      <w:rPr>
        <w:rFonts w:ascii="Arial" w:cs="Arial" w:eastAsia="Arial" w:hAnsi="Arial"/>
        <w:color w:val="59595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1"/>
      </w:pBdr>
      <w:tabs>
        <w:tab w:val="right" w:pos="9360"/>
      </w:tabs>
      <w:spacing w:after="80" w:before="0"/>
    </w:pPr>
    <w:r>
      <w:rPr>
        <w:rFonts w:ascii="Arial" w:cs="Arial" w:eastAsia="Arial" w:hAnsi="Arial"/>
        <w:b/>
        <w:bCs/>
        <w:color w:val="1F3864"/>
        <w:sz w:val="16"/>
        <w:szCs w:val="16"/>
      </w:rPr>
      <w:t xml:space="preserve">D-Central Group  |  Confidential</w:t>
    </w:r>
    <w:r>
      <w:rPr>
        <w:rFonts w:ascii="Arial" w:cs="Arial" w:eastAsia="Arial" w:hAnsi="Arial"/>
        <w:color w:val="595959"/>
        <w:sz w:val="16"/>
        <w:szCs w:val="16"/>
      </w:rPr>
      <w:t xml:space="preserve">	Section 2 — Legal &amp; Corporate Structure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2026-05-26T02:12:35.979Z</dcterms:created>
  <dcterms:modified xsi:type="dcterms:W3CDTF">2026-05-26T02:12:35.979Z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