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INV-001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Inc.</w:t>
      </w:r>
    </w:p>
    <w:p>
      <w:pPr>
        <w:spacing w:after="300" w:before="0"/>
        <w:jc w:val="center"/>
      </w:pPr>
      <w:r>
        <w:rPr>
          <w:rFonts w:ascii="Arial" w:cs="Arial" w:eastAsia="Arial" w:hAnsi="Arial"/>
          <w:color w:val="595959"/>
          <w:sz w:val="22"/>
          <w:szCs w:val="22"/>
        </w:rPr>
        <w:t xml:space="preserve">D-Central Group — Seed / Pre-Seed Pitch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15-slide narrative with speaker notes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Angel investors, seed funds, impact investors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FIN-CM-003 | DC-STRAT-001 | DC-STRAT-003 | INV-002 | INV-005</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Deck Narrative — 15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2400"/>
        <w:gridCol w:w="4460"/>
      </w:tblGrid>
      <w:tr>
        <w:trPr>
          <w:tblHeader/>
        </w:trP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Slide Title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Core Message</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Speaker Notes / Data Points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$38M Problem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banned automated speed cameras. Ottawa lost $38.7M in annual enforcement revenue overnight.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Lead with the urgency. Not with technology. Not with the vision. The revenue gap is the opening hook — it is specific, documented, and urgent.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Fixed Cameras Are Politically Dead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They were banned because communities had no stake. The problem is structural, not technical.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Ford government didn't ban speed cameras because they didn't work technically. They banned them because the community saw no benefit. That is a problem TrafficMesh solves architecturally, not politically.'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TrafficMesh — Mobile Enforcement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Nodes on existing city vehicles. AI detects violations. Officer reviews and confirms. Revenue shared with community.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Show the one-sentence version: 'Camera on a bus, officer reviews before any ticket, city and community share the revenue.' That's it.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NYC Proved It 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NYC MTA ACE: $225M in fines over 24 months, bus speeds +5%, collisions -20%.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'We're not asking Ottawa to be first. We're asking Ottawa to be the first Canadian city to replicate something that's been running in New York for 3 years.'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 The Platform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TrafficMesh is one vertical. CivicMesh is the platform: 5 modules covering enforcement, community cameras, LPR, acoustic detection, and navigation.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Give the 60-second overview of all 5 modules. The investor needs to understand this is a platform company, not a traffic camera company.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Cooperative Model — Our Moat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Community-owned, open source, privacy-preserving. Not Ring. Not Flock. The cooperative structure is the moat competitors cannot replicate.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'Flock Safety cannot offer community revenue share without destroying their shareholder return model. Ring cannot offer community data ownership without destroying Amazon's data monetization. We can offer both because we are a cooperative.'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Market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$7.5B Flock Safety. $500M+ Nexar. $300M ShotSpotter. $1.3B Waze. CivicMesh addresses all four markets simultaneously with a structurally superior model.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Don't claim you'll beat all of them. Claim you occupy the gap they all left: community-owned, privacy-preserving, open source.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Government Funds 70–85% of the 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80% of R&amp;D salaries. SR&amp;ED: 65% refund on remaining. ISC: up to $150K PoC grant. Mitacs: research labour at $7,500/unit. Training revenue: Day 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'By the time you write a cheque, the federal government will have already validated our technical merit and funded the majority of our development. You are not funding development risk. You are funding scaling a validated product.'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pilot proposal in process. 5 HOA CommunityShield deployments confirmed. First insurance partner conversation initiated. Algonquin training partnership in discussion.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Whatever traction exists at time of the meeting — be specific and honest. No hockey stick graphs.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Toussaint Redji Jean Baptiste — founder, technical lead, Algonquin College student. [Advisory board / research partners as applicable].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'I'm building this at Algonquin because Ottawa is where it starts — the city with the revenue gap, the transit authority that needs enforcement, and the government funding programmes that cover my R&amp;D costs.'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Financial Model — 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$185K–$386K Year 1 revenue. $2.5M–$5.3M Year 3. Path to profitability at 150 managed nodes.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Refer to FIN-CM-003 for detail. In the deck: just the headline numbers and the path to break-even.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$500,000–$750,000 CAD seed round. SAFE or convertible note. $4M–$6M valuation cap.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Be direct. State the number before they ask.</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Use of Funds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ML engineer ($90K). 1 backend engineer ($90K). Phase 2 hardware ($100K). Legal ($40K). Marketing and BD ($50K). Working capital ($30K–$130K).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Specific allocation. No 'general corporate purposes' — investors hate that.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Cooperative 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Why the cooperative structure creates higher switching costs, better community advocacy, and an unbeatable political moat than any investor-owned competitor.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For impact-aligned investors: 'The mission and the moat are the same thing.'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Next Steps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 team reviews IRAP approval and SR&amp;ED structure. Schedule technical deep-dive with founder. Review data room.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Three specific, named next steps. End every pitch with asks, not open questions.</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2026-05-31T22:01:52.196Z</dcterms:created>
  <dcterms:modified xsi:type="dcterms:W3CDTF">2026-05-31T22:01:52.210Z</dcterms:modified>
</cp:coreProperties>
</file>

<file path=docProps/custom.xml><?xml version="1.0" encoding="utf-8"?>
<Properties xmlns="http://schemas.openxmlformats.org/officeDocument/2006/custom-properties" xmlns:vt="http://schemas.openxmlformats.org/officeDocument/2006/docPropsVTypes"/>
</file>