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48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LOAN-CM-001</w:t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D-CENTRAL GROUP</w:t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CivicMesh Inc.</w:t>
      </w:r>
    </w:p>
    <w:p>
      <w:pPr>
        <w:spacing w:after="300" w:before="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Innovative Solutions Canada (ISC) Phase 1 Application Framework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Document ID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LOAN-CM-001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Version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Status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Draft — monitor ISC challenge board, submit on relevant challenge posting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Date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May 2026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Author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Toussaint Redji Jean Baptiste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Confidential — Funding Application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Programme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Innovative Solutions Canada (ISC) — ised.canada.ca/en/innovative-solutions-canada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Funding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1: Up to $150,000 grant to offset 6-month PoC development costs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Target Departments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Public Safety Canada | Transport Canada | RCMP / Federal Policing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Ontario Advantage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Ontario-based companies receive 40–50% of all ISC awards. Digital and AI projects = 17% of funded sectors.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Related Documents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LOAN-CM-002 | IRAP-CM-001 | SRED-CM-001 | DC-CM-GTM-001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Executive Summary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ISC provides grants to Canadian businesses to develop innovative solutions to challenges posted by federal government departments. Phase 1 is up to $150,000 to build a proof of concept over 6 months. Upon successful Phase 1 completion, Phase 2 is up to $1 million for a 2-year full platform build. This document is an application framework — it cannot be submitted until a relevant challenge is posted on the ISC challenge board. The framework documents the CivicMesh value proposition for the departments most likely to post matching challenges. Monitor buyandsell.gc.ca and canada.ca/innovative-solutions weekly.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Target Challenge Watch 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2800"/>
        <w:gridCol w:w="23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Department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Challenge Category to Watch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CivicMesh Fit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Alert Keywords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Public Safety Canada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Mobile enforcement, community safety technology, privacy-preserving surveillance alternatives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CivicMesh is the privacy-preserving alternative to fixed surveillance — directly addresses PSC mandate for community-based safety infrastructure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community safety, mobile enforcement, privacy-preserving, surveillance alternative, distributed sensor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Transport Canada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Road safety technology, automated enforcement, connected vehicle infrastructure, smart transportation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TrafficMesh addresses TC's road safety mandate — mobile node enforcement is a novel approach to the automated enforcement challenge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automated enforcement, road safety, vehicle-mounted, mobile sensor, traffic violation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RCMP / Federal Policing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Dual-use technology, law enforcement support technology, evidence management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CivicMesh's Amber Alert integration, stolen vehicle ALPR, hit-and-run evidence network directly support RCMP mandates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law enforcement support, evidence management, ALPR, amber alert, vehicle identification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National Defence (dual-use)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Dual-use technology, distributed sensor networks, edge AI for public safety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IRAP dual-use stream ($241M) aligns with defence interest in distributed edge AI sensor networks with privacy-preserving architecture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dual-use, distributed sensor, edge AI, federated, public safety technology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Infrastructure Canada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Smart city infrastructure, connected communities, municipal technology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CivicMesh digital twin, road condition data, and community safety infrastructure directly support INFC smart city mandate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smart city, community infrastructure, digital twin, municipal technology, connected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Phase 1 PoC Scope (for Transport Canada Road Safety Challenge)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Challenge Statement (hypothetical)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"Transport Canada seeks innovative solutions for mobile, community-based road safety enforcement that complement existing fixed infrastructure while addressing privacy and community acceptance challenges."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Proposed Solution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CivicMesh TrafficMesh — a privacy-preserving, open-source, community-owned mobile enforcement platform that uses existing city fleet vehicles as enforcement nodes, with human review before every citation and full community revenue sharing.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Phase 1 Deliverable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Working proof of concept demonstrating: (a) edge AI violation detection on a vehicle-mounted node, (b) evidence package generation with cryptographic chain of custody, (c) officer review portal with human sign-off before citation, (d) privacy-preserving data governance with community audit log, (e) performance benchmarks on Ottawa road footage.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Phase 1 Timeline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 months from award — aligns with IRAP-TM-001 Milestones M1 through M3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Ottawa Advantage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Ottawa is the seat of federal government. Transport Canada HQ is in Ottawa. An Ottawa PoC with direct Transport Canada visibility maximizes Phase 2 award probability.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Phase 1 Application Narrative Template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The following narrative framework should be customized to the specific challenge language when a matching challenge is posted: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 Framework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Problem Statement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Ontario's November 2025 automated speed enforcement ban eliminated $38.7M in annual enforcement revenue for Ottawa alone and created a province-wide gap in road safety infrastructure. Existing fixed camera alternatives are: vulnerable to vandalism (known locations), easily avoided (GPS-mapped by civilians), politically vulnerable (perceived as revenue extraction with no community benefit), and unable to cover residential streets, school zones, or construction sites without permanent installation.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Proposed Innovation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CivicMesh TrafficMesh is a distributed mobile enforcement network that converts existing city fleet vehicles (buses, plows, sweepers, bylaw vehicles) into enforcement nodes. The innovation is in five areas: (1) edge AI violation detection optimized for Canadian road conditions; (2) privacy-preserving evidence architecture with on-device blurring and cryptographic chain of custody; (3) community-owned cooperative model with revenue sharing to participants; (4) W3C DID/VC credentialing for every node, technician, and MSSP operator; (5) federated data governance allowing community-level audit of every law enforcement data access.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Technical Approach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[Describe the Phase 1 technical work plan — 6-month milestone schedule from IRAP-CM-001 Section 4. Reference the five technical uncertainty areas. Describe the documentation system that will generate contemporaneous evidence of systematic investigation.]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Commercial Potential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Target market: all 444 municipalities in Ontario for fleet-mounted enforcement ($X estimated annual revenue potential). Secondary: 3,500+ HOAs and condo corporations in Ottawa for CommunityShield deployments. National expansion to all provinces following Ontario pilot. International (US, UK, Australia) in Years 4–6.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Team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Toussaint Redji Jean Baptiste — founder and lead developer. Currently at Algonquin College. Mitacs research partnerships with [Carleton / uOttawa] for [AI / legal] research. [Additional team members at time of application].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Why ISC Phase 1 (not Phase 2)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CivicMesh is at TRL 3–4 at time of application — concept validated, prototype in early development. Phase 1 will advance to TRL 6 (technology demonstrated in relevant environment — Ottawa pilot). Phase 2 application will follow with demonstrated OC Transpo pilot results.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ISC and IRAP Interaction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Can Both Be Used?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Yes — ISC Phase 1 and IRAP can be applied to the same project, subject to government assistance accounting rules. ISC grant must be reported as government assistance and reduces SR&amp;ED eligible expenditures.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Optimal Stack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IRAP covers 80% of eligible salaries monthly. ISC Phase 1 covers project expenses (materials, contractor costs, overhead) as a grant. SR&amp;ED refunds a portion of the remaining eligible costs at year end. All three are complementary.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ISC Award Timing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ISC Phase 1 awards are typically disbursed in tranches: 50% on contract signing, 50% on PoC delivery and acceptance. Build this into the cash flow model (FIN-CM-001).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Document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600"/>
        <w:gridCol w:w="2400"/>
        <w:gridCol w:w="44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May 2026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Toussaint Redji Jean Baptiste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Initial release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Classification Notice — This document is CONFIDENTIAL and intended for internal use, legal counsel, and authorized personnel only. Distribution requires written authorization from Toussaint Redji Jean Baptiste.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1"/>
      </w:pBdr>
      <w:tabs>
        <w:tab w:val="right" w:pos="9360"/>
      </w:tabs>
      <w:spacing w:after="0" w:before="80"/>
    </w:pPr>
    <w:r>
      <w:rPr>
        <w:rFonts w:ascii="Arial" w:cs="Arial" w:eastAsia="Arial" w:hAnsi="Arial"/>
        <w:color w:val="595959"/>
        <w:sz w:val="16"/>
        <w:szCs w:val="16"/>
      </w:rPr>
      <w:t xml:space="preserve">Toussaint Redji Jean Baptiste  |  D-Central Ecosystem  |  May 2026</w:t>
    </w:r>
    <w:r>
      <w:rPr>
        <w:rFonts w:ascii="Arial" w:cs="Arial" w:eastAsia="Arial" w:hAnsi="Arial"/>
        <w:color w:val="595959"/>
        <w:sz w:val="16"/>
        <w:szCs w:val="16"/>
      </w:rPr>
      <w:t xml:space="preserve">	Page </w:t>
    </w:r>
    <w:r>
      <w:rPr>
        <w:rFonts w:ascii="Arial" w:cs="Arial" w:eastAsia="Arial" w:hAnsi="Arial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95959"/>
        <w:sz w:val="16"/>
        <w:szCs w:val="16"/>
      </w:rPr>
      <w:t xml:space="preserve"> of </w:t>
    </w:r>
    <w:r>
      <w:rPr>
        <w:rFonts w:ascii="Arial" w:cs="Arial" w:eastAsia="Arial" w:hAnsi="Arial"/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tabs>
        <w:tab w:val="right" w:pos="9360"/>
      </w:tabs>
      <w:spacing w:after="80" w:before="0"/>
    </w:pPr>
    <w:r>
      <w:rPr>
        <w:rFonts w:ascii="Arial" w:cs="Arial" w:eastAsia="Arial" w:hAnsi="Arial"/>
        <w:b/>
        <w:bCs/>
        <w:color w:val="1F3864"/>
        <w:sz w:val="16"/>
        <w:szCs w:val="16"/>
      </w:rPr>
      <w:t xml:space="preserve">D-Central Group  |  Confidential</w:t>
    </w:r>
    <w:r>
      <w:rPr>
        <w:rFonts w:ascii="Arial" w:cs="Arial" w:eastAsia="Arial" w:hAnsi="Arial"/>
        <w:color w:val="595959"/>
        <w:sz w:val="16"/>
        <w:szCs w:val="16"/>
      </w:rPr>
      <w:t xml:space="preserve">	Section 2 — Legal &amp; Corporate Structure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2026-05-23T20:51:18.807Z</dcterms:created>
  <dcterms:modified xsi:type="dcterms:W3CDTF">2026-05-23T20:51:18.823Z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