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LEGAL-002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D-CENTRAL GROUP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D-Central Group Inc.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Unanimous Shareholder Agreement — Term Sheet &amp; Clause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LEGAL-002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 — Term Sheet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 — legal counsel to draft full agreement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Toussaint Redji Jean Baptiste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 — Legal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Term sheet only — not a signed legal agreement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Parties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D-Central Group Inc. and all shareholders (initially: Toussaint Redji Jean Baptiste)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LEGAL-001 | LEGAL-003 | LEGAL-004 | FIN-CM-003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Executive Summary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 Unanimous Shareholder Agreement (USA) is a contract among all shareholders that restricts, in whole or in part, the powers of the directors to manage the business and affairs of the corporation (CBCA s.146). For a founder-led startup, the USA is the foundational governance document covering founder vesting, board composition, reserved matters, transfer restrictions, anti-dilution, and mission lock provisions that protect the cooperative and open source commitments from investor pressure.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Founder Share Vesting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Founder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Toussaint Redji Jean Baptiste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Shares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 A Common — [10,000,000 shares at $0.0001 par value recommended]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Vesting Schedule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4-year: 25% cliff vest at Month 12 from incorporation. Remaining 75% monthly over 36 months (1/48th per month).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Acceleration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trigger: 100% on involuntary termination post-change of control. Double trigger: voluntary termination within 12 months post-CoC.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Reverse Vesting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Company right of repurchase at $0.0001 for unvested shares. Repurchase right lapses as shares vest.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IP Covenant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Founder executes LEGAL-003 simultaneously. All pre- and post-incorporation IP assigned to D-Central Group Inc.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Board Composition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Initial Board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Toussaint Redji Jean Baptiste — sole director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On First Institutional Round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Expands to 3: 1 founder + 1 investor nominee + 1 independent (mutually agreed)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On Series 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Expands to 5: 2 founder/management + 2 investor nominees + 1 independent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Founder Control Period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Founder retains casting vote + board majority until earlier of: (a) Series A close, or (b) founder holds less than 20% of total voting shares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Observer Rights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Seed investors holding 5%+ receive non-voting board observer rights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Shareholder Reserved Matters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60"/>
      </w:tblGrid>
      <w:tr>
        <w:trPr>
          <w:tblHeader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Reserved Matter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Amendment of articles or USA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75% of voting shares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Issuance of new shares (outside approved option pool)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Majority of voting shares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Sale, merger, or change of control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75% of voting shares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Voluntary dissolution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75% of voting shares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Incurrence of debt exceeding $500,000 CAD in any 12-month period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Majority of voting shares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Any related-party transaction exceeding $50,000 CAD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Majority — founder recuses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Any action that would cause loss of CCPC 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75% — requires prior legal opinion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Abandonment of open source licensing model for any D-Central platform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75% of voting shares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Any data sharing agreement that contravenes CivicMesh privacy architecture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75% of voting shares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Transfer Restrictions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Right of First Refusal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Selling shareholder must offer shares to existing shareholders pro-rata at proposed price. 30-day exercise window.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Board Approval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transfer without board approval. Board withholds approval if CCPC status at risk.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Drag-Along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75%+ approving a sale drags remaining shareholders on same terms.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Tag-Along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founder sells 10%+ of their shares, minority shareholders may participate pro-rata on same terms.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Lock-Up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Founder shares subject to 12-month lock-up from any equity financing round.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Mission Lock Provisions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following cannot be changed without 75% shareholder approval — these provisions survive any change of control: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Open source licensing of CivicMesh platform core (AGPL v3) cannot be revoked or changed to proprietary — requires 75% approval + 12-month public notice period;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Cooperative structure of CCSC, CTC, MSSP Cooperative, and Guard Cooperative cannot be dissolved or converted;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Privacy architecture principles (no national private database, hash-before-store ALPR, on-device audio processing, community data ownership) cannot be abandoned;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D-Credit cannot be listed on a speculative exchange or structured as a security without 75% approval and securities law compliance;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Any acquirer must agree to be bound by these mission lock provisions as a condition of shareholder approval of any acquisition.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Investor Information Rights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Right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Monthly management accounts (unaudited)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5%+ of any class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Within 30 days of month end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Annual audited financial statements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shareholders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Within 90 days of fiscal year end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Notice of material events (litigation, regulatory action, loss of key contract, government funding change)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shareholders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Within 5 business days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Access to SR&amp;ED and IRAP records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10%+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Within 10 business days of request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4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Toussaint Redji Jean Baptiste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Classification Notice — This document is CONFIDENTIAL and intended for internal use, legal counsel, and authorized personnel only. Distribution requires written authorization from Toussaint Redji Jean Baptiste.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595959"/>
        <w:sz w:val="16"/>
        <w:szCs w:val="16"/>
      </w:rPr>
      <w:t xml:space="preserve">Toussaint Redji Jean Baptiste  |  D-Central Ecosystem  |  May 2026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D-Central Group  |  Confidential</w:t>
    </w:r>
    <w:r>
      <w:rPr>
        <w:rFonts w:ascii="Arial" w:cs="Arial" w:eastAsia="Arial" w:hAnsi="Arial"/>
        <w:color w:val="595959"/>
        <w:sz w:val="16"/>
        <w:szCs w:val="16"/>
      </w:rPr>
      <w:t xml:space="preserve">	Section 2 — Legal &amp; Corporate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2026-05-22T01:00:50.777Z</dcterms:created>
  <dcterms:modified xsi:type="dcterms:W3CDTF">2026-05-22T01:00:50.777Z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