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1F3864"/>
          <w:sz w:val="56"/>
          <w:szCs w:val="56"/>
        </w:rPr>
        <w:t xml:space="preserve">LEGAL-CM-012</w:t>
      </w:r>
    </w:p>
    <w:p>
      <w:pPr>
        <w:spacing w:after="40" w:before="0"/>
        <w:jc w:val="center"/>
      </w:pPr>
      <w:r>
        <w:rPr>
          <w:rFonts w:ascii="Arial" w:cs="Arial" w:eastAsia="Arial" w:hAnsi="Arial"/>
          <w:b/>
          <w:bCs/>
          <w:color w:val="2E75B6"/>
          <w:sz w:val="28"/>
          <w:szCs w:val="28"/>
        </w:rPr>
        <w:t xml:space="preserve">D-CENTRAL GROUP</w:t>
      </w:r>
    </w:p>
    <w:p>
      <w:pPr>
        <w:spacing w:after="40" w:before="0"/>
        <w:jc w:val="center"/>
      </w:pPr>
      <w:r>
        <w:rPr>
          <w:rFonts w:ascii="Arial" w:cs="Arial" w:eastAsia="Arial" w:hAnsi="Arial"/>
          <w:b/>
          <w:bCs/>
          <w:color w:val="1F3864"/>
          <w:sz w:val="40"/>
          <w:szCs w:val="40"/>
        </w:rPr>
        <w:t xml:space="preserve">CommunityShield Inc.</w:t>
      </w:r>
    </w:p>
    <w:p>
      <w:pPr>
        <w:spacing w:after="300" w:before="0"/>
        <w:jc w:val="center"/>
      </w:pPr>
      <w:r>
        <w:rPr>
          <w:rFonts w:ascii="Arial" w:cs="Arial" w:eastAsia="Arial" w:hAnsi="Arial"/>
          <w:color w:val="595959"/>
          <w:sz w:val="22"/>
          <w:szCs w:val="22"/>
        </w:rPr>
        <w:t xml:space="preserve">HOA / Condo Corporation Participation Agreement —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LEGAL-CM-012</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 — Template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Draft — customize per community at execution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Toussaint Redji Jean Baptiste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Confidential — Legal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Parties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CommunityShield Inc. (Platform Operator) and [HOA / Condo Corporation / Property Manager] (Community Partner)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Agreement 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Community safety platform participation and revenue sharing agreement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Related 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LEGAL-CM-013 | LEGAL-CCSC-001 | REG-CS-001 | REG-CM-001 | DEPLOY-CS-001</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pPr>
              <w:spacing w:after="60" w:before="0"/>
            </w:pPr>
            <w:r>
              <w:rPr>
                <w:rFonts w:ascii="Arial" w:cs="Arial" w:eastAsia="Arial" w:hAnsi="Arial"/>
                <w:b/>
                <w:bCs/>
                <w:color w:val="1F3864"/>
                <w:sz w:val="22"/>
                <w:szCs w:val="22"/>
              </w:rPr>
              <w:t xml:space="preserve">Executive Summary</w:t>
            </w:r>
          </w:p>
          <w:p>
            <w:pPr>
              <w:spacing w:after="0" w:before="0"/>
            </w:pPr>
            <w:r>
              <w:rPr>
                <w:rFonts w:ascii="Arial" w:cs="Arial" w:eastAsia="Arial" w:hAnsi="Arial"/>
                <w:color w:val="000000"/>
                <w:sz w:val="20"/>
                <w:szCs w:val="20"/>
              </w:rPr>
              <w:t xml:space="preserve">This is the master agreement between CommunityShield Inc. and a community organization (HOA board, condo corporation, apartment complex landlord, campus security authority, or business park operator) that deploys the CivicMesh community safety platform on their property. It covers node installation requirements, resident consent procedures, data governance, fine revenue distribution, platform fees, insurance programme access, and exit terms. This agreement is the revenue-generating contract for CommunityShield Inc.'s beachhead market.</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1. Deployment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Community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[HOA / Condo Corporation / Apartment Complex / Campus / Business Park / Gated Community / Private Road — select at execution]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Property Address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[Civic address and legal description of community property]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Authorized Modules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[Select: CommunityShield camera network / MeshPlate LPR / MeshEar acoustic detection — listed at execution]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Node Count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[Estimated number of nodes at deployment — firm count confirmed at installation completion]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Community 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[Named individual authorized to access NOC dashboard and manage community incident queue]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Term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Initial 2-year term, renewable annually with 60-day advance notice of non-renewal</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2. Resident Consent Requirements</w:t>
      </w:r>
    </w:p>
    <w:p>
      <w:pPr>
        <w:spacing w:after="80" w:before="80"/>
      </w:pPr>
      <w:r>
        <w:rPr>
          <w:rFonts w:ascii="Arial" w:cs="Arial" w:eastAsia="Arial" w:hAnsi="Arial"/>
          <w:b w:val="false"/>
          <w:bCs w:val="false"/>
          <w:color w:val="000000"/>
          <w:sz w:val="20"/>
          <w:szCs w:val="20"/>
        </w:rPr>
        <w:t xml:space="preserve">The Community Partner is responsible for obtaining valid consent from all residents affected by node deployment before any node is activated. CommunityShield Inc. will not activate any node until the Community Partner certifies that the following consent steps are complete:</w:t>
      </w:r>
    </w:p>
    <w:p>
      <w:pPr>
        <w:spacing w:after="0" w:before="60"/>
      </w:pPr>
      <w:r>
        <w:t xml:space="preserve"/>
      </w:r>
    </w:p>
    <w:p>
      <w:pPr>
        <w:pStyle w:val="ListParagraph"/>
        <w:numPr>
          <w:ilvl w:val="0"/>
          <w:numId w:val="2"/>
        </w:numPr>
        <w:spacing w:after="40" w:before="40"/>
      </w:pPr>
      <w:r>
        <w:rPr>
          <w:rFonts w:ascii="Arial" w:cs="Arial" w:eastAsia="Arial" w:hAnsi="Arial"/>
          <w:sz w:val="20"/>
          <w:szCs w:val="20"/>
        </w:rPr>
        <w:t xml:space="preserve">Written notice delivered to all residents describing: the platform being deployed, the types of data collected, how data will be used, who can access it, how to opt in to the revenue share programme, and how to request data deletion;</w:t>
      </w:r>
    </w:p>
    <w:p>
      <w:pPr>
        <w:pStyle w:val="ListParagraph"/>
        <w:numPr>
          <w:ilvl w:val="0"/>
          <w:numId w:val="2"/>
        </w:numPr>
        <w:spacing w:after="40" w:before="40"/>
      </w:pPr>
      <w:r>
        <w:rPr>
          <w:rFonts w:ascii="Arial" w:cs="Arial" w:eastAsia="Arial" w:hAnsi="Arial"/>
          <w:sz w:val="20"/>
          <w:szCs w:val="20"/>
        </w:rPr>
        <w:t xml:space="preserve">Notice period of minimum 30 days before node activation (14 days for non-residential properties);</w:t>
      </w:r>
    </w:p>
    <w:p>
      <w:pPr>
        <w:pStyle w:val="ListParagraph"/>
        <w:numPr>
          <w:ilvl w:val="0"/>
          <w:numId w:val="2"/>
        </w:numPr>
        <w:spacing w:after="40" w:before="40"/>
      </w:pPr>
      <w:r>
        <w:rPr>
          <w:rFonts w:ascii="Arial" w:cs="Arial" w:eastAsia="Arial" w:hAnsi="Arial"/>
          <w:sz w:val="20"/>
          <w:szCs w:val="20"/>
        </w:rPr>
        <w:t xml:space="preserve">Resident opt-in agreement (LEGAL-CM-013) made available to all residents who wish to connect personal devices to the community network;</w:t>
      </w:r>
    </w:p>
    <w:p>
      <w:pPr>
        <w:pStyle w:val="ListParagraph"/>
        <w:numPr>
          <w:ilvl w:val="0"/>
          <w:numId w:val="2"/>
        </w:numPr>
        <w:spacing w:after="40" w:before="40"/>
      </w:pPr>
      <w:r>
        <w:rPr>
          <w:rFonts w:ascii="Arial" w:cs="Arial" w:eastAsia="Arial" w:hAnsi="Arial"/>
          <w:sz w:val="20"/>
          <w:szCs w:val="20"/>
        </w:rPr>
        <w:t xml:space="preserve">Published camera map showing the location of all community nodes — updated within 5 business days of any node addition or removal;</w:t>
      </w:r>
    </w:p>
    <w:p>
      <w:pPr>
        <w:pStyle w:val="ListParagraph"/>
        <w:numPr>
          <w:ilvl w:val="0"/>
          <w:numId w:val="2"/>
        </w:numPr>
        <w:spacing w:after="40" w:before="40"/>
      </w:pPr>
      <w:r>
        <w:rPr>
          <w:rFonts w:ascii="Arial" w:cs="Arial" w:eastAsia="Arial" w:hAnsi="Arial"/>
          <w:sz w:val="20"/>
          <w:szCs w:val="20"/>
        </w:rPr>
        <w:t xml:space="preserve">Community Partner certification to CommunityShield Inc. that all consent steps are complete, signed by the authorized Community Manager.</w:t>
      </w:r>
    </w:p>
    <w:p>
      <w:pPr>
        <w:spacing w:after="0" w:before="120"/>
      </w:pPr>
      <w:r>
        <w:t xml:space="preserve"/>
      </w:r>
    </w:p>
    <w:p>
      <w:pPr>
        <w:pStyle w:val="Heading1"/>
        <w:spacing w:after="160" w:before="320"/>
      </w:pPr>
      <w:r>
        <w:rPr>
          <w:rFonts w:ascii="Arial" w:cs="Arial" w:eastAsia="Arial" w:hAnsi="Arial"/>
          <w:b/>
          <w:bCs/>
          <w:color w:val="1F3864"/>
          <w:sz w:val="32"/>
          <w:szCs w:val="32"/>
        </w:rPr>
        <w:t xml:space="preserve">3. Platform Fees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Fee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Amount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Timing</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Includes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Monthly Platform Fee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$[TBD] per month per community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Monthly in advance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NOC dashboard access, node health monitoring, incident queue, transparency reporting, software updates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Per-Node Fee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$[TBD] per active node per month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Monthly, prior month count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Node management, firmware updates, remote diagnostics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Installation Fee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$[TBD] per node — one-time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At installation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Hardware supply (DCMC kit), certified technician installation, calibration, credential issuance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Annual Audit Fee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$[TBD]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Annual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Annual privacy and compliance audit report for community distribution</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4. Fine Revenue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400"/>
        <w:gridCol w:w="19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Revenue Source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Community Partner</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CCSC Member Nodes</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CommunityShield Inc.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Parking violation fines (private property)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60% — to community operating fund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25% — to node owners whose devices contributed to the evidence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15% — platform processing fee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HOA rule violation fines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70% — to HOA operating fund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20% — to contributing node owners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10% — platform processing fee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Trespassing / access violation fines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65% — to community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20% — to contributing node owners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15% — platform fee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Government enforcement citations (if municipal federation active)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Per LEGAL-CM-011 revenue share — flows through to community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Per CCSC patronage formula</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Per MSSP fee structure</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5. Insurance Programme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Premium Reduction Eligibility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Communities with node coverage above the certified density threshold (defined by CivicMesh Insurance Integration Specification DC-CM-INS-001) are eligible for a certified premium reduction from participating insurers.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Certification Process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CommunityShield Inc. submits annual coverage report to participating insurers. Insurer issues premium reduction certificate to Community Partner.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Individual Member Reductions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Residents who opt in to the insurance data share programme (through LEGAL-CM-013) receive individual premium reductions directly from their insurer. Community Partner facilitates opt-in but is not party to the individual insurer relationship.</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No Guarantee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CommunityShield Inc. facilitates the insurance programme but does not guarantee any specific premium reduction. Reduction amounts are at the insurer's discretion.</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6. Data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Data Ownership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All evidence packages generated by nodes within the community property are owned by the Community Partner (for community enforcement purposes) and by the individual node owner (for their device's footage). CommunityShield Inc. has operational access only.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Law Enforcement Access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Community Partner authorizes CommunityShield Inc. to process law enforcement data requests per the federation protocol (DC-CM-FED-001). Community Partner will be notified of every law enforcement access within 24 hours.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Transparency Report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CommunityShield Inc. generates and publishes an annual transparency report for the community. Community Partner must distribute this report to all residents within 30 days of publication.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Retention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Evidence packages retained for 90 days unless: actively involved in an enforcement action (retained until action concludes), subject to a law enforcement hold (retained until hold is released), or the Community Partner requests extended retention (maximum 2 years).</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7. Exit and Termination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By Community Partner (without cause)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60 days written notice. All nodes deactivated and credentials revoked on effective termination date. CommunityShield Inc. removes or deactivates all hardware within 30 days.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By CommunityShield Inc. (with cause)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Immediately on: material breach of resident consent obligations; use of platform for prohibited purposes; failure to pay platform fees for 60+ days.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Data on Exit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All community evidence data returned to Community Partner in standard format (CSV + MP4) within 30 days of termination, or deleted per Community Partner instruction. CommunityShield Inc. retains no copies.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CCSC Member Continuity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Individual CCSC members (residents with personal nodes) retain their cooperative membership and may reconnect their devices to another community network if one is established.</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8.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44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Author</w:t>
            </w:r>
          </w:p>
        </w:tc>
        <w:tc>
          <w:tcPr>
            <w:tcW w:type="dxa" w:w="4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Toussaint Redji Jean Baptiste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Initial release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95959"/>
                <w:sz w:val="18"/>
                <w:szCs w:val="18"/>
              </w:rPr>
              <w:t xml:space="preserve">Classification Notice — This document is CONFIDENTIAL and intended for internal use, legal counsel, and authorized personnel only. Distribution requires written authorization from Toussaint Redji Jean Baptiste.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80"/>
    </w:pPr>
    <w:r>
      <w:rPr>
        <w:rFonts w:ascii="Arial" w:cs="Arial" w:eastAsia="Arial" w:hAnsi="Arial"/>
        <w:color w:val="595959"/>
        <w:sz w:val="16"/>
        <w:szCs w:val="16"/>
      </w:rPr>
      <w:t xml:space="preserve">Toussaint Redji Jean Baptiste  |  D-Central Ecosystem  |  May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80" w:before="0"/>
    </w:pPr>
    <w:r>
      <w:rPr>
        <w:rFonts w:ascii="Arial" w:cs="Arial" w:eastAsia="Arial" w:hAnsi="Arial"/>
        <w:b/>
        <w:bCs/>
        <w:color w:val="1F3864"/>
        <w:sz w:val="16"/>
        <w:szCs w:val="16"/>
      </w:rPr>
      <w:t xml:space="preserve">D-Central Group  |  Confidential</w:t>
    </w:r>
    <w:r>
      <w:rPr>
        <w:rFonts w:ascii="Arial" w:cs="Arial" w:eastAsia="Arial" w:hAnsi="Arial"/>
        <w:color w:val="595959"/>
        <w:sz w:val="16"/>
        <w:szCs w:val="16"/>
      </w:rPr>
      <w:t xml:space="preserve">	Section 2 — Legal &amp; Corporate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2026-05-22T21:13:31.780Z</dcterms:created>
  <dcterms:modified xsi:type="dcterms:W3CDTF">2026-05-22T21:13:31.793Z</dcterms:modified>
</cp:coreProperties>
</file>

<file path=docProps/custom.xml><?xml version="1.0" encoding="utf-8"?>
<Properties xmlns="http://schemas.openxmlformats.org/officeDocument/2006/custom-properties" xmlns:vt="http://schemas.openxmlformats.org/officeDocument/2006/docPropsVTypes"/>
</file>