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LEGAL-TM-001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TrafficMesh Technologies Inc.</w:t>
      </w:r>
    </w:p>
    <w:p>
      <w:pPr>
        <w:spacing w:after="300" w:before="0"/>
        <w:jc w:val="center"/>
      </w:pPr>
      <w:r>
        <w:rPr>
          <w:rFonts w:ascii="Arial" w:cs="Arial" w:eastAsia="Arial" w:hAnsi="Arial"/>
          <w:color w:val="595959"/>
          <w:sz w:val="22"/>
          <w:szCs w:val="22"/>
        </w:rPr>
        <w:t xml:space="preserve">Articles of Incorporation — Federal CCPC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LEGAL-TM-001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Parent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Group Inc. (100% owner via CivicMesh Inc. sublicence for 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TrafficMesh platform operations — OC Transpo pilot, city fleet, civilian opt-in, digital twin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LEGAL-CM-001 | DC-TM-BIZ-001 | OS-PATROL-TM-001 | DEPLOY-TM-001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TrafficMesh Technologies Inc. is the operating entity for all TrafficMesh deployments. It contracts directly with municipalities, OC Transpo, and fleet operators. It employs the technical team building the TrafficMesh platform. It files SR&amp;ED claims for TrafficMesh-specific R&amp;D. It is a CCPC, 100% owned by D-Central Group Inc., receiving its IP rights through an intercompany sublicence from CivicMesh Inc. This entity is the one that signs the OC Transpo pilot agreement.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Operational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Operates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TrafficMesh node fleet deployments, officer review portal, evidence pipeline, digital twin, OC Transpo pilot, city fleet expansion, contractor node kit programme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Contracts With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 Transpo, City of Ottawa, municipal bylaw departments, DCMC (hardware supply), D-Central Shield (as initial MSSP operator)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Activities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Edge AI violation detection, ALPR optimization for Canadian weather/lighting, OBD-II telemetry fusion, digital twin mapping engine, cryptographic chain-of-custody pipeline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MSSP fees via D-Central Shield, city revenue share agreements, node kit supply to city contractors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IRAP Salary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2000"/>
        <w:gridCol w:w="1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IRAP Eligible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Est. Annual Salary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IRAP Covers (80%)</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Founder Pays 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Founder / Technical Lead (employed by this 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$70,000–$80,000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$56,000–$64,000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$14,000–$16,000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Additional Technical Staff (when hired)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$65,000–$75,000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$52,000–$60,000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$13,000–$15,000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External Contractors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 — 50% of eligible costs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Variable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 of approved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Non-Technical Staff (admin/sales)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Variable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Not eligible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Full cost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Key Operational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Document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SR&amp;ED Project Ledger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Daily contemporaneous CRA documentation — GitHub commits, Linear tasks, technical decision log, time tracking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SRED-TM-001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Project Agreement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NRC IRAP funded project — milestone reporting, salary claim procedures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IRAP-TM-001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Pilot Deployment Plan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Hardware installation, violation config, revenue reporting, KPI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DEPLOY-TM-001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of Ottawa Revenue Share Agreement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Enforcement revenue sharing between TrafficMesh and municipality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MKT-TM-GOV-007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Compliance Legal Opinion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Confirms vehicle-mounted enforcement under existing HTA authority — required before OC Transpo pitch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REG-TM-001</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2026-05-22T01:03:36.736Z</dcterms:created>
  <dcterms:modified xsi:type="dcterms:W3CDTF">2026-05-22T01:03:36.736Z</dcterms:modified>
</cp:coreProperties>
</file>

<file path=docProps/custom.xml><?xml version="1.0" encoding="utf-8"?>
<Properties xmlns="http://schemas.openxmlformats.org/officeDocument/2006/custom-properties" xmlns:vt="http://schemas.openxmlformats.org/officeDocument/2006/docPropsVTypes"/>
</file>