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REG-CS-001</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 TrafficMesh Technologies Inc. / CivicMesh Inc.</w:t>
      </w:r>
    </w:p>
    <w:p>
      <w:pPr>
        <w:spacing w:after="300" w:before="0"/>
        <w:jc w:val="center"/>
      </w:pPr>
      <w:r>
        <w:rPr>
          <w:rFonts w:ascii="Arial" w:cs="Arial" w:eastAsia="Arial" w:hAnsi="Arial"/>
          <w:color w:val="595959"/>
          <w:sz w:val="22"/>
          <w:szCs w:val="22"/>
        </w:rPr>
        <w:t xml:space="preserve">CommunityShield Surveillance Regulatory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REG-CS-001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 — for legal counsel review</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 — Legal / Regulatory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Municipal camera bylaws, condo corporation authority, landlord rights, Residential Tenancies Act, PIPEDA application to residential networks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DC-CS-ARCH-001 | DC-CS-FED-001 | REG-CM-001 | LEGAL-CM-012 | LEGAL-CS-001</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Municipal Surveillance Camera Bylaws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Municipality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Relevant Bylaw / Policy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Applicable to CommunityShield?</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City of Ottawa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Ottawa-specific camera registration bylaw as of 2026. IPC/Ontario guidance applies.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registration required for private property cameras.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Cameras must comply with PIPEDA. Signage recommended ('Premises under video surveillance').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City of Toronto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Toronto has adopted a surveillance technology policy for city-owned cameras. Private property cameras governed by PIPEDA.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Toronto policy applies to city cameras — not to private HOA deployments.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Private HOA cameras in Toronto: PIPEDA + Toronto Building Code for installation.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Vancouver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 camera registration bylaw. BC PIPA applies for commercial entities.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BC PIPA requirements apply to condo corporations and property managers.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Privacy notice required. BC PIPA complaints handled by OIPC BC.</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2. Condo Corporation Camera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Legal authority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Under the Ontario Condominium Act, 1998, the board of directors has authority to manage common elements, which includes reasonable security measures. Camera installation in common areas is within board authority.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Declaration and rules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condominium declaration may specify procedures for security decisions. Some declarations require owner vote for significant changes. The community manager must review the declaration before installation.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Owner notification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Ontario Condominium Act s.97 requires notice to owners before making an addition, alteration, or improvement to the common elements that is not a repair or maintenance. Camera installation typically requires s.97 notice. Template notice provided in CommunityShield HOA deployment package.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Hallway cameras — specific guidance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Cameras in building hallways should be positioned to monitor common area activity, not to enable ongoing monitoring of which tenants are entering/leaving their units. Cameras positioned directly opposite unit entrances with no other coverage purpose are more legally exposed. Angle cameras to capture common area while minimizing coverage of specific unit entrances.</w:t>
            </w:r>
          </w:p>
        </w:tc>
      </w:tr>
    </w:tbl>
    <w:p>
      <w:pPr>
        <w:spacing w:after="0" w:before="120"/>
      </w:pPr>
      <w:r>
        <w:t xml:space="preserve"/>
      </w:r>
    </w:p>
    <w:p>
      <w:pPr>
        <w:pStyle w:val="Heading1"/>
        <w:spacing w:after="160" w:before="320"/>
      </w:pPr>
      <w:r>
        <w:rPr>
          <w:rFonts w:ascii="Arial" w:cs="Arial" w:eastAsia="Arial" w:hAnsi="Arial"/>
          <w:b/>
          <w:bCs/>
          <w:color w:val="1F3864"/>
          <w:sz w:val="32"/>
          <w:szCs w:val="32"/>
        </w:rPr>
        <w:t xml:space="preserve">3. Residential Tenancies Act — Landlord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400"/>
        <w:gridCol w:w="3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Scenario</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Permitted?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Legal Basis</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CommunityShield Design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Exterior building cameras (entrances, parking)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Landlord-owned property. Standard security camera authority.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Fully supported.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Lobby and common area cameras inside building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with notice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Landlord property. RTA s.22 (quiet enjoyment) requires notice.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Supported. Tenant notification package provided.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Camera in building hallway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Yes, with restrictions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Hallways are common areas. Camera must not unreasonably intrude on tenants' reasonable expectation of privacy in accessing their unit.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Camera placement guidance in deployment package: angle away from direct unit entrance monitoring.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Camera inside tenant unit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Tenant has exclusive possession under RTA s.2 and quiet enjoyment rights under s.22.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Architecturally impossible — CommunityShield only provisions exterior and common area cameras.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Requiring tenant to install camera as lease condition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This would be an unlawful condition in a tenancy agreement under RTA s.4.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Tenant opt-in programme is voluntary and independent of lease terms.</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2026-05-27T13:38:15.470Z</dcterms:created>
  <dcterms:modified xsi:type="dcterms:W3CDTF">2026-05-27T13:38:15.470Z</dcterms:modified>
</cp:coreProperties>
</file>

<file path=docProps/custom.xml><?xml version="1.0" encoding="utf-8"?>
<Properties xmlns="http://schemas.openxmlformats.org/officeDocument/2006/custom-properties" xmlns:vt="http://schemas.openxmlformats.org/officeDocument/2006/docPropsVTypes"/>
</file>