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REG-MP-001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TrafficMesh Technologies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MeshPlate ALPR Regulatory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REG-MP-001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for legal counsel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 / Regulatory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Canadian provincial ALPR legislation survey, Charter s.8 analysis, hash-before-store design implications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Finding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Ontario has no specific ALPR statute — the Charter s.8 analysis governs. Hash-before-store architecture addresses the key Charter concern.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DC-MP-ARCH-001 | DC-MP-FED-001 | REG-TM-001 | REG-CM-001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Canadian ALPR Legal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20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ALPR-Specific Legislation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Charter s.8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Police ALPR Guidance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MeshPlate Implication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 — legislative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 v Jarvis 2019 SCC 10: reasonable expectation of privacy in movements over time. Bulk plate collection and retention may engage s.8. Hash-before-store addresses the retention concern.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OPP and OPS ALPR guidelines exist but are not public. IPC/Ontario has issued guidance on police ALPR.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Strongest jurisdiction for MeshPlate. Hash-before-store + formal query requirement satisfies the Jarvis s.8 concern.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British Columbia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PIPA applies to commercial ALPR. OIPC has investigated commercial ALPR use.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 courts have applied Jarvis to commercial ALPR — bulk retention of plate reads engages privacy interests.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BC Privacy Commissioner issued order against parking enforcement ALPR in 2012.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More restrictive than Ontario. Legal opinion required before deployment.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Quebec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Quebec Law 25 — strongest provincial privacy legislation in Canada. Biometric data definition may extend to plate reads.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Quebec courts have been more privacy-protective than Ontario.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CAI (Commission d'accès à l'information) oversight of ALPR.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Most restrictive. Detailed Quebec legal opinion mandatory before deployment.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Alberta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PIPA applies. OIPC has not issued specific ALPR guidance.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Similar to BC approach.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RCMP and municipal police ALPR governed by internal policy.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Similar to BC — legal opinion 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(RCMP)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Act governs federal agency collection. No ALPR-specific statute.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Charter s.8 applies to state action — RCMP ALPR governed by existing s.8 jurisprudence.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RCMP ALPR use governed by internal policy and Commissioner direction.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Federal ISC opportunity — MeshPlate as non-state actor providing data to RCMP under formal request process has different legal analysis.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Jarvis Analysis and Hash-Before-Store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 v Jarvis [2019] SCC 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Supreme Court held that continuous observation of an individual over time engages a reasonable expectation of privacy under Charter s.8, even in public spaces. Applied to ALPR: a system that records every location a vehicle visits over time creates a 'biographical profile' — a chronicle of a person's movements — that engages s.8.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key legal 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is not the reading of a single plate at a single location that is legally sensitive. It is the aggregation of plate reads over time into a location history that creates the privacy interest.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hash-before-store addresses this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 storing SHA-256 hashes rather than plaintext plates, and by requiring formal legal authority to link a specific plate to a hash and retrieve location history, MeshPlate prevents the casual aggregation that Jarvis is concerned about. An operator cannot browse MeshPlate data and build a location history for any particular vehicle. They can only query whether a specific plate (submitted with legal authority) appears in the records.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Remaining legal 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the hash-before-store architecture sufficiently addresses the Jarvis concern requires a formal legal opinion. The argument is strong, but it has not been tested in court. This is an active area of inquiry that the Mitacs legal faculty partnership should address.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No-Data-Broker Covenant — Legal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it matters legally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brokers acquiring ALPR data and selling it to insurers, employers, and private investigators has been a source of regulatory action in the US (California CPRA enforcement) and is attracting similar attention in Canada.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CivicMesh's protective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no-data-broker covenant (DC-MP-FED-001) is backed by AGPL licence terms that prohibit commercial data broker use. Any deployment of MeshPlate that routes data to a commercial data broker is in breach of the AGPL licence and the MSSP Partner Agreement simultaneously.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Regulatory positioning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Proactively briefing the IPC/Ontario and the OPC on MeshPlate's architecture — specifically the hash-before-store design and no-data-broker covenant — before deployment creates a cooperative regulatory relationship rather than a reactive enforcement relationship.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2026-05-27T13:38:15.412Z</dcterms:created>
  <dcterms:modified xsi:type="dcterms:W3CDTF">2026-05-27T13:38:15.412Z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