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OS-PATROL-TM-EV-001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TrafficMesh Technologies Inc.</w:t>
      </w:r>
    </w:p>
    <w:p>
      <w:pPr>
        <w:spacing w:after="300" w:before="0"/>
        <w:jc w:val="center"/>
      </w:pPr>
      <w:r>
        <w:rPr>
          <w:rFonts w:ascii="Arial" w:cs="Arial" w:eastAsia="Arial" w:hAnsi="Arial"/>
          <w:color w:val="595959"/>
          <w:sz w:val="22"/>
          <w:szCs w:val="22"/>
        </w:rPr>
        <w:t xml:space="preserve">TrafficMesh Evidence and Legal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OS-PATROL-TM-EV-001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required before OC Transpo pitch</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Technical / Legal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SR&amp;ED Eligibility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Strong — novel cryptographic chain-of-custody pipeline designed for Canadian court standards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OS-PATROL-TM-001 | DC-CM-NODE-PROV-001 | DC-CM-DID-001 | REG-TM-001 | REG-TM-002</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TrafficMesh evidence will be contested in court. This document defines the technical design of the evidence pipeline with Canadian court admissibility as the primary constraint. The key arguments are: (1) human officer review before every citation — no automated enforcement; (2) cryptographic chain of custody from node manufacture to citation issuance; (3) publicly verifiable provenance chain on a public blockchain; (4) comparison with existing admissible evidence types (red light camera, fixed speed camera) to establish that TrafficMesh meets or exceeds existing standards.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Human Review Requirement — The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citation is issued by the platform without a human officer reviewing the evidence package and signing with their DID. This is technically enforced — the citation issuance API requires a valid officer DID signature before proceeding. It cannot be bypassed.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Why This Matters Legally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Ontario's automated enforcement legislation requires human review before citation issuance for automated camera systems. The same principle applies to TrafficMesh. No enforcement action is 'automated' — the AI detects and packages; the officer decides.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Why This Matters Politically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Every existing automated enforcement system that faced public backlash (Ontario ASE cameras, ShotSpotter) was criticized for removing human judgment from enforcement. TrafficMesh's human review requirement is the answer to that criticism.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Audit Trail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Every officer review action — view time, confirm/dismiss decision, dismissal reason code, DID signature timestamp — is logged immutably in the audit trail. This creates a defensible record of deliberate human decision-making for every citation issued.</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Evidence Package Admissibility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Admissibility Criterion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TrafficMesh Evidence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Comparable Admitted Evidence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Authenticity — was the evidence created by what it purports to be?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DID credential chain verifiable on public blockchain. Manufacturer, installer, and operator all credentialed. ATECC608B hardware key ensures package signed by physical node.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Red light camera: authenticity attested by city engineer testimony + calibration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Integrity — has the evidence been altered since capture?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JWS signature on evidence package. Any post-capture modification invalidates signature. Tamper detection suspends node DID on any hardware interference.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Red light camera: sealed system with audit trail — similar integrity argument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Reliability — does the evidence accurately represent what it purports to show?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AI model confidence scores published and validated. False positive rates documented. Human officer review confirms reliability assessment. Model version and training data documented in technical record.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Speed camera: calibration certificate attesting accuracy within defined tolerance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Relevance — is the evidence relevant to the alleged violation?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Each evidence package is typed to a specific violation type at capture. Geolocation confirms the violation occurred in the enforcement jurisdiction.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Fixed camera: location-specific, violation-specific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Chain of Custody — has the evidence been handled appropriately?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Cryptographic chain from node capture through upload through storage to officer review — all steps logged with timestamps and participant DIDs. Public blockchain anchoring at key steps.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Red light camera: physical custody procedures + chain of custody documentation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Provincial Variation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Province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Relevant Legislation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Consideration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Legal Opinion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Highway Traffic Act, R.S.O. 1990, c. H.8 + Provincial Offences 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Human review mandate confirmed. Vehicle-mounted camera not covered by ASE ban. OC Transpo pilot authority under existing HTA.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commissioned as REG-TM-001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Quebec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Code de la sécurité routière, RLRQ c C-24.2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Similar automated enforcement framework. French language requirements for all documentation and interfaces.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before Quebec expansion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British Columbia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Motor Vehicle Act, RSBC 1996, c. 318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BC has its own automated enforcement programme — regulatory alignment analysis required for compatibility.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before BC expansion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Alberta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Traffic Safety Act, RSA 2000, c T-6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provincial automated enforcement programme — potential first-mover advantage for TrafficMesh.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before Alberta expansion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Federal (HTA enforcement on federal property)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Federal Motor Vehicle Safety Act + applicable provincial HTA by reference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RCMP and NPS enforcement on federal properties — ISC Phase 2 opportunity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for ISC federal application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2026-05-24T01:56:05.466Z</dcterms:created>
  <dcterms:modified xsi:type="dcterms:W3CDTF">2026-05-24T01:56:05.466Z</dcterms:modified>
</cp:coreProperties>
</file>

<file path=docProps/custom.xml><?xml version="1.0" encoding="utf-8"?>
<Properties xmlns="http://schemas.openxmlformats.org/officeDocument/2006/custom-properties" xmlns:vt="http://schemas.openxmlformats.org/officeDocument/2006/docPropsVTypes"/>
</file>