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80"/>
        <w:jc w:val="center"/>
      </w:pPr>
      <w:r>
        <w:rPr>
          <w:rFonts w:ascii="Arial" w:cs="Arial" w:eastAsia="Arial" w:hAnsi="Arial"/>
          <w:b/>
          <w:bCs/>
          <w:color w:val="1F3864"/>
          <w:sz w:val="56"/>
          <w:szCs w:val="56"/>
        </w:rPr>
        <w:t xml:space="preserve">DC-CM-B2B-004</w:t>
      </w:r>
    </w:p>
    <w:p>
      <w:pPr>
        <w:spacing w:after="40" w:before="0"/>
        <w:jc w:val="center"/>
      </w:pPr>
      <w:r>
        <w:rPr>
          <w:rFonts w:ascii="Arial" w:cs="Arial" w:eastAsia="Arial" w:hAnsi="Arial"/>
          <w:b/>
          <w:bCs/>
          <w:color w:val="2E75B6"/>
          <w:sz w:val="28"/>
          <w:szCs w:val="28"/>
        </w:rPr>
        <w:t xml:space="preserve">D-CENTRAL GROUP</w:t>
      </w:r>
    </w:p>
    <w:p>
      <w:pPr>
        <w:spacing w:after="40" w:before="0"/>
        <w:jc w:val="center"/>
      </w:pPr>
      <w:r>
        <w:rPr>
          <w:rFonts w:ascii="Arial" w:cs="Arial" w:eastAsia="Arial" w:hAnsi="Arial"/>
          <w:b/>
          <w:bCs/>
          <w:color w:val="1F3864"/>
          <w:sz w:val="40"/>
          <w:szCs w:val="40"/>
        </w:rPr>
        <w:t xml:space="preserve">CivicMesh Inc.</w:t>
      </w:r>
    </w:p>
    <w:p>
      <w:pPr>
        <w:spacing w:after="300" w:before="0"/>
        <w:jc w:val="center"/>
      </w:pPr>
      <w:r>
        <w:rPr>
          <w:rFonts w:ascii="Arial" w:cs="Arial" w:eastAsia="Arial" w:hAnsi="Arial"/>
          <w:color w:val="595959"/>
          <w:sz w:val="22"/>
          <w:szCs w:val="22"/>
        </w:rPr>
        <w:t xml:space="preserve">Delivery Network Agreement Template — Model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Document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DC-CM-B2B-004</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 — Template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Draft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May 2026</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Author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Toussaint Redji Jean Baptiste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Classification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Confidential — Legal</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Applies To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Amazon Logistics, UPS Canada, FedEx Canada, Purolator, DHL, Intelcom, and local Ottawa courier operators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Related Documents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DC-CM-B2B-001 | DC-CM-B2B-005 | DC-CM-B2B-006 | OS-PATROL-TM-TWIN-001</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60"/>
              <w:bottom w:type="dxa" w:w="120"/>
              <w:right w:type="dxa" w:w="160"/>
            </w:tcMar>
          </w:tcPr>
          <w:p>
            <w:pPr>
              <w:spacing w:after="60" w:before="0"/>
            </w:pPr>
            <w:r>
              <w:rPr>
                <w:rFonts w:ascii="Arial" w:cs="Arial" w:eastAsia="Arial" w:hAnsi="Arial"/>
                <w:b/>
                <w:bCs/>
                <w:color w:val="1F3864"/>
                <w:sz w:val="22"/>
                <w:szCs w:val="22"/>
              </w:rPr>
              <w:t xml:space="preserve">Executive Summary</w:t>
            </w:r>
          </w:p>
          <w:p>
            <w:pPr>
              <w:spacing w:after="0" w:before="0"/>
            </w:pPr>
            <w:r>
              <w:rPr>
                <w:rFonts w:ascii="Arial" w:cs="Arial" w:eastAsia="Arial" w:hAnsi="Arial"/>
                <w:color w:val="000000"/>
                <w:sz w:val="20"/>
                <w:szCs w:val="20"/>
              </w:rPr>
              <w:t xml:space="preserve">The Delivery Network Agreement is structured similarly to the Fleet Operator Agreement but with two key differences: (1) the digital twin data contribution is significantly higher for delivery networks — same streets daily — warranting a higher city share and a premium data tier for insurers; and (2) delivery operators face unique last-mile liability challenges (double-parking, loading zone violations, pedestrian zone compliance) where the node's route documentation creates independent commercial value as a liability management tool.</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1. Why Delivery Networks Are Uniquely Valuable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Attribute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Rideshare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Rental</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Delivery (This Agreement)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Route pattern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Random — follows passenger requests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Random — renter-determined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Systematic — defined postal code zones, daily repetition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Digital twin update frequency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~3× per route per day (trip-driven)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~1–2× per day (unpredictable)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~10–15× per day per postal code (every delivery pass)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Road condition observation quality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Good — high coverage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Moderate — random routes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Excellent — same streets observed daily in all weather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Last-mile residential coverage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Partial — trip-driven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Partial — renter-driven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Complete — every residential street every business day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Insurance data value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High — behaviour data for rideshare product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Moderate — standard fleet product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High — route risk scoring, last-mile liability product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Digital twin premium tier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 — standard twin contribution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Yes — delivery nodes generate premium-tier twin data</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2. Revenue Structure — Delivery-Specific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Revenue Item</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Split</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Citation revenue — bus stop/lane obstruction by other vehicles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City: 55%, CivicMesh: 20%, Delivery company: 20%, CCSC: 5%</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Higher city share reflects delivery network's infrastructure contribution. Delivery drivers observe more bus stop violations than any other network tier — they're stopped at bus stops constantly watching other vehicles block them.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Digital twin premium data subscription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Delivery company receives 15% of any premium data subscription revenue attributable to their route zone observations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Separate from citation revenue. Insurance actuaries and municipal planners pay a premium for delivery-node twin data — daily updates for every residential street.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Last-mile liability documentation fee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Delivery company retains all value — CivicMesh charges per-incident retrieval fee ($25–$50) when delivery company requests footage for a specific liability claim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Independent commercial value. If a claim is made about a delivery vehicle's behaviour at a specific address and time, the node footage is retrievable. Delivery companies currently have no reliable way to defend these claims.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Route safety score product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Insurance carriers pay a separate annual subscription for route-level risk scores derived from delivery network observations — delivery company receives no share but benefits from insurer premium reduction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CivicMesh sells the route safety score product to commercial fleet insurers. Delivery company's insurer subscription is negotiated separately.</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3. No Worker Surveillance Covenant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Core Covenant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CivicMesh data from delivery vehicle nodes will not be used by the delivery company for: driver route compliance monitoring, delivery time performance assessment, stop-level productivity measurement, or any other workforce performance management purpose.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Technical Enforcement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Route zone data is available to the delivery company only at the postal code aggregate level — not at the individual vehicle or stop level. Stop-level data is available only through the citation evidence pathway (with legal authority for specific enforcement actions) or the liability documentation pathway (per-incident, company-authorized).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Driver Benefit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Individual delivery drivers may opt in to the CivicMesh driver benefit programme (same as rideshare drivers) for their personal insurance premium reduction and citation revenue share. This is voluntary and independent of the company agreement.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Amazon Specific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Amazon Logistics operates delivery service partners (DSPs) — subcontracted small businesses that employ the actual delivery drivers. The no-surveillance covenant applies to both Amazon Logistics and DSP operators. CivicMesh will not enter side agreements with DSPs that circumvent driver protections.</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4. Privacy Architecture for Delivery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Address-Level Privacy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Delivery nodes capture footage of residential streets including driveways, front yards, and visible interiors. All faces are blurred on-device before any footage is transmitted or stored. Residential property footage that does not contain a violation candidate is discarded on-device.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Resident Notification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Delivery companies deploying CivicMesh nodes must include a notice on their delivery tracking app and website that delivery vehicles in their fleet are equipped with road safety monitoring technology. Model notification text provided in Schedule A of the agreement.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PIPEDA Compliance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Delivery company is responsible for PIPEDA compliance for any interactions between the delivery network data and customer records. CivicMesh does not link delivery routes to customer delivery addresses.</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5.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400"/>
        <w:gridCol w:w="44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Ver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Date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Author</w:t>
            </w:r>
          </w:p>
        </w:tc>
        <w:tc>
          <w:tcPr>
            <w:tcW w:type="dxa" w:w="4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May 2026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Toussaint Redji Jean Baptiste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Initial release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595959"/>
                <w:sz w:val="18"/>
                <w:szCs w:val="18"/>
              </w:rPr>
              <w:t xml:space="preserve">Classification Notice — This document is CONFIDENTIAL and intended for internal use, legal counsel, and authorized personnel only. Distribution requires written authorization from Toussaint Redji Jean Baptiste.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after="0" w:before="80"/>
    </w:pPr>
    <w:r>
      <w:rPr>
        <w:rFonts w:ascii="Arial" w:cs="Arial" w:eastAsia="Arial" w:hAnsi="Arial"/>
        <w:color w:val="595959"/>
        <w:sz w:val="16"/>
        <w:szCs w:val="16"/>
      </w:rPr>
      <w:t xml:space="preserve">Toussaint Redji Jean Baptiste  |  D-Central Ecosystem  |  May 2026</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80" w:before="0"/>
    </w:pPr>
    <w:r>
      <w:rPr>
        <w:rFonts w:ascii="Arial" w:cs="Arial" w:eastAsia="Arial" w:hAnsi="Arial"/>
        <w:b/>
        <w:bCs/>
        <w:color w:val="1F3864"/>
        <w:sz w:val="16"/>
        <w:szCs w:val="16"/>
      </w:rPr>
      <w:t xml:space="preserve">D-Central Group  |  Confidential</w:t>
    </w:r>
    <w:r>
      <w:rPr>
        <w:rFonts w:ascii="Arial" w:cs="Arial" w:eastAsia="Arial" w:hAnsi="Arial"/>
        <w:color w:val="595959"/>
        <w:sz w:val="16"/>
        <w:szCs w:val="16"/>
      </w:rPr>
      <w:t xml:space="preserve">	Section 2 — Legal &amp; Corporate 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2026-05-25T19:23:40.091Z</dcterms:created>
  <dcterms:modified xsi:type="dcterms:W3CDTF">2026-05-25T19:23:40.091Z</dcterms:modified>
</cp:coreProperties>
</file>

<file path=docProps/custom.xml><?xml version="1.0" encoding="utf-8"?>
<Properties xmlns="http://schemas.openxmlformats.org/officeDocument/2006/custom-properties" xmlns:vt="http://schemas.openxmlformats.org/officeDocument/2006/docPropsVTypes"/>
</file>