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DC-CM-INS-001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Insurance Integration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DC-CM-INS-001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SR&amp;ED: novel data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— novel actuarial data pipeline from community safety infrastructure with privacy-preserving consent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LEGAL-CM-014 | OS-PATROL-TM-INS-001 | DC-CM-PRV-001 | MKT-INS-001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specification defines the technical architecture for CivicMesh's insurance data products. Three tiers: aggregate anonymised corridor and community data for actuarial modelling (no consent required beyond community agreement), consent-gated individual driving record API for underwriting (explicit policyholder opt-in), and incident evidence package retrieval for claims and subrogation (individual consent or legal authority). The challenge is building a data pipeline that satisfies both the insurer's need for high-quality behavioural data and PIPEDA's consent requirements — simultaneously.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Insurance Data Product Architecture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16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Returned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Consent 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1 — Aggregate Feed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/v1/insurance/aggregate/{region}/{date_range}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Corridor risk scores, violation density heatmaps by type/time/season, road condition index by segment, infrastructure asset condition, collision hotspot analysis — all aggregated to census-tract minimum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data federation agreement (no individual consent)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subscription per region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2 — Individual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/v1/insurance/record/{policyholderDID}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12-month driving behaviour summary: lane discipline score, following distance percentile, time-of-day risk profile, validated incident history, clean record periods — for consented policyholders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Individual CCSC member opt-in through Member App — insurer-specific consent per query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Per-query fee at underwriting renewal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3 — Incident Evidence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/v1/insurance/evidence/{packageId}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Video clip, GPS coordinates, timestamp, violation classification, confidence score, node credential chain, chain of custody documentation — for specific identified claims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Individual consent (claims process) OR legal authority (subrogation)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Per-package flat fee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4 — Premium Reduction Certification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/v1/insurance/certify/{communityId}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coverage density report, node uptime statistics, evidence quality metrics — confirms community meets premium reduction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manager certification 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certification fee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Individual Record API — Consent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Insurer submits Tier 2 query with: policyholderDID, insurer DID, query purpose, policy renewal date;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Platform verifies: insurer DID has active Insurance Data Sharing Agreement (LEGAL-CM-014);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Platform checks member consent store: does this member have an active, non-revoked consent for this specific insurer's Tier 2 access?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consent absent or revoked: return 403 Forbidden with reason CONSENT_NOT_FOUND or CONSENT_REVOKED;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consent valid: generate 12-month behaviour summary from member's evidence package history → anonymise to remove specific location patterns → return summary;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query to member's consent history (visible in Member App → Privacy → Data Accesses);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query to insurer's audit log (available for annual audit under LEGAL-CM-014 Section 5).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UBI (Usage-Based Insurance) Backbone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Technical Challenge (SR&amp;ED)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UBI products (Intact MyDriving, Desjardins Ajusto) collect self-reported telematics data from the insured driver's own device. CivicMesh collects third-party validated data from the road infrastructure. The challenge is: how to construct a behavioural risk score from enforcement-adjacent data (violations detected near a vehicle) without creating adverse selection problems or proxy discrimination.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Sources for UBI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(1) Violations attributed to the insured vehicle (from opted-in enforcement data); (2) Following distance events (from TrafficMesh node footage when insured vehicle is visible); (3) Speed percentile (from OBD-II data for opted-in node-owning drivers); (4) Time-of-day pattern (from node location data for opted-in drivers).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Privacy 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UBI data is available ONLY for drivers who have explicitly opted in through the Member App. Drivers who have not opted in receive no UBI pricing — their standard premium applies. No inference about opted-out drivers from network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Anti-Discrimination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scoring uses only behaviour attributes, not geographic proxies. Corridor risk scores are not applied to individual drivers based on where they live — only where they drive and how they behave there.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2026-05-24T01:53:33.860Z</dcterms:created>
  <dcterms:modified xsi:type="dcterms:W3CDTF">2026-05-24T01:53:33.860Z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