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FIN-CM-001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Inc.</w:t>
      </w:r>
    </w:p>
    <w:p>
      <w:pPr>
        <w:spacing w:after="300" w:before="0"/>
        <w:jc w:val="center"/>
      </w:pPr>
      <w:r>
        <w:rPr>
          <w:rFonts w:ascii="Arial" w:cs="Arial" w:eastAsia="Arial" w:hAnsi="Arial"/>
          <w:color w:val="595959"/>
          <w:sz w:val="22"/>
          <w:szCs w:val="22"/>
        </w:rPr>
        <w:t xml:space="preserve">Founder Cash Flow Model — 18-Month Pre-Investor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FIN-CM-001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PRIORITY — complete before any spending or salary draw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Financial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Month-by-month cash flow projection for 18-month development period. Governs salary draw, IRAP timing, SR&amp;ED refund planning, credit card float management.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IRAP-CM-001 | SRED-CM-001 | LOAN-CM-001 | LEGAL-001 | LEGAL-002</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This document is a framework for the founder cash flow model. The actual model should be built in a spreadsheet (FIN-CM-001.xlsx — to be created) with monthly columns for 18 months. The purpose is to ensure the company never runs out of cash during the development phase, to understand the IRAP reimbursement timing, to plan the SR&amp;ED annual refund, and to manage the business credit card float between spending and reimbursement. The framework below provides the structure and key assumptions.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Complete the spreadsheet version of this model (FIN-CM-001.xlsx) before drawing any salary, before submitting the IRAP application, and before making any R&amp;D expenditure. The cash flow model is the instrument panel for the entire funding strategy.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Revenue Sources — Monthly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Source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Amount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IRAP salary reimbursement — founder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80% of eligible monthly salary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 approximately 30–45 days after milestone report submission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Depends on ITA approval and monthly report acceptance. First payment typically Month 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IRAP salary reimbursement — additional staff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80% of eligible monthly salary per staff member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 same lag as above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Add to model when each staff member is hired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IRAP contractor reimbursement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 of eligible contractor invoices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 with regular milestone report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Contractor invoices must be submitted with milestone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SR&amp;ED federal ITC refund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Up to 35% of net eligible expenditures (after IRAP reduction)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 typically June/July after April filing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Budget conservatively: assume 90 days after filing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SR&amp;ED top-up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Up to 30% of net eligible expenditures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 with federal filing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Some lag from federal; consolidate in same month estimate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CommunityShield HOA NOC fees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fee per HOA] × number of HOA clients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 from first HOA client signing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Model conservatively: 3 HOA clients by Month 6, 5 by Month 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Training certification fees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$299–$1,200 per candidate × candidates per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 as candidates enroll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Conservative: 5 candidates/month from Month 2, 15/month by Month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Mitacs Accelerate contribution return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$7,500 per unit (company contribution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One-time per unit — company pays out, does not receive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This is a NET COST — but generates $15,000 in research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ISC Phase 1 — tranche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 of award (up to $75,000)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 contract signing — approximately Month 10–12 if applied Month 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Only if ISC challenge matches and application is accepted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ISC Phase 1 — tranche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 of award (up to $75,000)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 PoC acceptance — approximately Month 16–18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Expenditure Categories — Monthly Timing</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800"/>
        <w:gridCol w:w="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Expenditure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Monthly Amount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Payment Method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SR&amp;ED?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IRAP?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Founder salary — eligible R&amp;D portion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$5,833–$6,667 (= $70K–$80K/yr)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Payroll — must be through payroll, not ad hoc transfer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reduced by IRAP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80% reimbursed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Founder salary — non-eligible portion (admin, 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$0–$1,000 estimate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Payroll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Corporate income tax remittances (payroll deductions)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~25–30% of gross salary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CRA payroll account — due 15th of following month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HST remittances (if revenues exceed $30K/year)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Collect and remit quarterly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CRA HST account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Cloud computing — R&amp;D (AWS/GCP training instances)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$300–$800/month (varies with training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Business credit card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(as materials)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Software subscriptions (GitHub Teams, Linear, Harvest)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~$100–200/month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Business credit card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Partial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Hardware purchases — R&amp;D prototypes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$2,000–$5,000 in Months 1–6; $1,000/month thereafter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Business credit card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(as materials)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SR&amp;ED consultant — Year 1 engagement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$3,000–$8,000 total (typically on contingency at 15–25% of refund)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Invoice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as contractor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Legal fees — incorporation, USA, IP assignment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$3,000–$8,000 in Month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Invoice — or DIY where possible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Trademark filing fees — CIPO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$458/mark × 8 marks = ~$3,664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CIPO online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Domain registration — 15 domains × 2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~$300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Business credit card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Mitacs partner contributions (if pursuing)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$7,500 per unit — one-time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Invoice to Mitacs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contribution not SR&amp;ED eligible (research output is)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HOA installation costs (when CommunityShield deploying)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$1,500–$3,000 per HOA site (hardware + install)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Business credit card / invoice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Partial — prototype 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Business Credit Card Float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Float 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Expenses are charged to the business credit card when incurred. IRAP reimburses approximately 30–45 days after the monthly milestone report. SR&amp;ED refunds after filing. The business credit card carries a float of roughly 45–60 days of eligible expenses at any time.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Float Size Estimate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At $5,000–$8,000/month in eligible expenses (hardware, cloud, contractors), the float is approximately $10,000–$16,000 at any given time. The credit card limit must be at least this amount.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Recommended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RBC Avion Business or TD Business Travel Visa. Apply at incorporation. Request $20,000–$25,000 limit. Pay balance in full monthly from payroll account after IRAP reimbursements arrive.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Cash Buffer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Maintain a minimum $15,000 CAD cash buffer in the business bank account at all times. This covers: payroll tax remittances due on the 15th, credit card balance payment, and unexpected expenses. Do not draw below this buffer.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Alert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cash balance drops below $20,000, trigger a review: check IRAP milestone report status, check SR&amp;ED refund ETA, check HOA client billing, and consider whether to reduce expenses temporarily.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Salary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Defensible Salary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$70,000–$80,000 per year is defensible for a technical founder with IRAP. At $75,000, IRAP covers $60,000 (80%) and you pay $15,000. After SR&amp;ED on the remaining 20%, net cost is approximately $12,000–$14,000/year. This is the most capital-efficient way to pay yourself.</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Why Not Higher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$100,000 is possible but requires IRAP to accept it as market-rate for a student founder. $75,000–$80,000 is market-rate for a senior developer in Ottawa without founder markup. Discuss with your ITA before setting the salary.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Why Not Lower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Paying yourself less than $60,000 is a false economy. IRAP covers 80% — the incremental cost of an additional $10,000 salary is only $2,000 out of pocket (20%). Take the market rate.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Payroll Setup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Must be set up through a formal payroll system (QuickBooks Payroll, Wagepoint, or similar) before the first paycheque. Payroll deductions (CPP, EI, income tax) must be remitted to CRA by the 15th of the following month. This is non-negotiable — late remittances attract penalties.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Mitacs Entrepreneur Stipend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Mitacs Accelerate Entrepreneur is approved ($7,500/unit), this is paid as a stipend — it is not a salary and does not reduce IRAP-eligible salary. It supplements the salary draw.</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18-Month Summary (Framework — Populate in Spreadsheet)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200"/>
        <w:gridCol w:w="2200"/>
        <w:gridCol w:w="1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Month</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Financial Event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Approximate Cash In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Approximate Cash Out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Cumulative Position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Incorporation, payroll setup, first salary draw, hardware purchases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$0 (no IRAP yet)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$8,000–$12,000 (legal, hardware, salary)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($8,000–$12,000)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First IRAP milestone report submitted. Training certification revenue begins.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$3,000–$5,000 (training fees)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$7,000–$9,000 (salary, cloud, subscriptions)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Improving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First IRAP reimbursement received (~$4,800 = 80% of $6,000 eligible salary for Month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$7,000–$10,000 (IRAP + training)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$7,000–$9,000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Stabilizing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IRAP running monthly. First HOA client signed.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$10,000–$15,000/month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$8,000–$12,000/month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Positive or break-even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Additional technical staff hired (if funded). 3 HOA clients. IRAP expanded to cover staff.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$15,000–$20,000/month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$15,000–$18,000/month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Positive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ISC Phase 1 tranche 1 if awarded ($75,000). Mitacs research partner 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$20,000–$30,000/month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$15,000–$20,000/month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Strong positive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13–18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SR&amp;ED Year 1 refund received ($25,000–$35,000). OC Transpo pilot contract signed. ISC Phase 1 tranche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$30,000–$50,000/month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$20,000–$25,000/month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Investor-ready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6.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2026-05-23T20:51:19.599Z</dcterms:created>
  <dcterms:modified xsi:type="dcterms:W3CDTF">2026-05-23T20:51:19.599Z</dcterms:modified>
</cp:coreProperties>
</file>

<file path=docProps/custom.xml><?xml version="1.0" encoding="utf-8"?>
<Properties xmlns="http://schemas.openxmlformats.org/officeDocument/2006/custom-properties" xmlns:vt="http://schemas.openxmlformats.org/officeDocument/2006/docPropsVTypes"/>
</file>