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MKT-CCSC-003</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CivicMesh Inc.</w:t>
      </w:r>
    </w:p>
    <w:p>
      <w:pPr>
        <w:spacing w:after="300" w:before="0"/>
        <w:jc w:val="center"/>
      </w:pPr>
      <w:r>
        <w:rPr>
          <w:rFonts w:ascii="Arial" w:cs="Arial" w:eastAsia="Arial" w:hAnsi="Arial"/>
          <w:color w:val="595959"/>
          <w:sz w:val="22"/>
          <w:szCs w:val="22"/>
        </w:rPr>
        <w:t xml:space="preserve">CivicMesh Public Consultation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MKT-CCSC-003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Marketing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Toolkit for community managers and municipal partners preparing for public consultation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Prevent DeFlock-style backlash by proactively establishing transparency and community benefit narrative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MKT-CCSC-001 | MKT-CCSC-002 | DC-CM-GOV-003 | REG-CM-001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Consultation Preparation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Who Prepares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location map — printed and digital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Before any public announcement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platform auto-generates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Show residents exactly where cameras will be before they are installed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Plain-language privacy notice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Before installation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Template from CivicMesh — customized by community manager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Inform residents of their rights before they can 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dividend programme explainer (MKT-CCSC-002)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announcement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provides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Address 'what do we get?' before it's asked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FAQ document — top 10 questions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announcement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Template from CivicMesh — reviewed by community manager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Anticipate and answer every obvious question in writing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Law enforcement request log — initial empty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Auto-generated in Manager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'Here is the log that shows us that zero law enforcement requests have been made.'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transparency report structure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announcement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Template from DC-CM-GOV-003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'Here is exactly what we will publish every year and where you can find it.'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Public Meeting Agenda Template</w:t>
      </w:r>
    </w:p>
    <w:p>
      <w:pPr>
        <w:pStyle w:val="ListParagraph"/>
        <w:numPr>
          <w:ilvl w:val="0"/>
          <w:numId w:val="2"/>
        </w:numPr>
        <w:spacing w:after="40" w:before="40"/>
      </w:pPr>
      <w:r>
        <w:rPr>
          <w:rFonts w:ascii="Arial" w:cs="Arial" w:eastAsia="Arial" w:hAnsi="Arial"/>
          <w:sz w:val="20"/>
          <w:szCs w:val="20"/>
        </w:rPr>
        <w:t xml:space="preserve">Welcome and introduction: who is presenting and in what capacity (HOA manager, city staff, D-Central representative).</w:t>
      </w:r>
    </w:p>
    <w:p>
      <w:pPr>
        <w:pStyle w:val="ListParagraph"/>
        <w:numPr>
          <w:ilvl w:val="0"/>
          <w:numId w:val="2"/>
        </w:numPr>
        <w:spacing w:after="40" w:before="40"/>
      </w:pPr>
      <w:r>
        <w:rPr>
          <w:rFonts w:ascii="Arial" w:cs="Arial" w:eastAsia="Arial" w:hAnsi="Arial"/>
          <w:sz w:val="20"/>
          <w:szCs w:val="20"/>
        </w:rPr>
        <w:t xml:space="preserve">The problem: what safety or enforcement challenge this deployment addresses.</w:t>
      </w:r>
    </w:p>
    <w:p>
      <w:pPr>
        <w:pStyle w:val="ListParagraph"/>
        <w:numPr>
          <w:ilvl w:val="0"/>
          <w:numId w:val="2"/>
        </w:numPr>
        <w:spacing w:after="40" w:before="40"/>
      </w:pPr>
      <w:r>
        <w:rPr>
          <w:rFonts w:ascii="Arial" w:cs="Arial" w:eastAsia="Arial" w:hAnsi="Arial"/>
          <w:sz w:val="20"/>
          <w:szCs w:val="20"/>
        </w:rPr>
        <w:t xml:space="preserve">The solution: 5-minute explanation of CommunityShield/TrafficMesh — what it captures, what it does not capture.</w:t>
      </w:r>
    </w:p>
    <w:p>
      <w:pPr>
        <w:pStyle w:val="ListParagraph"/>
        <w:numPr>
          <w:ilvl w:val="0"/>
          <w:numId w:val="2"/>
        </w:numPr>
        <w:spacing w:after="40" w:before="40"/>
      </w:pPr>
      <w:r>
        <w:rPr>
          <w:rFonts w:ascii="Arial" w:cs="Arial" w:eastAsia="Arial" w:hAnsi="Arial"/>
          <w:sz w:val="20"/>
          <w:szCs w:val="20"/>
        </w:rPr>
        <w:t xml:space="preserve">Your privacy: walk through the privacy protections — on-device blurring, no continuous recording, formal request requirement, notification within 48 hours, right to see and delete your data.</w:t>
      </w:r>
    </w:p>
    <w:p>
      <w:pPr>
        <w:pStyle w:val="ListParagraph"/>
        <w:numPr>
          <w:ilvl w:val="0"/>
          <w:numId w:val="2"/>
        </w:numPr>
        <w:spacing w:after="40" w:before="40"/>
      </w:pPr>
      <w:r>
        <w:rPr>
          <w:rFonts w:ascii="Arial" w:cs="Arial" w:eastAsia="Arial" w:hAnsi="Arial"/>
          <w:sz w:val="20"/>
          <w:szCs w:val="20"/>
        </w:rPr>
        <w:t xml:space="preserve">Your benefit: explain the revenue share programme and insurance discount.</w:t>
      </w:r>
    </w:p>
    <w:p>
      <w:pPr>
        <w:pStyle w:val="ListParagraph"/>
        <w:numPr>
          <w:ilvl w:val="0"/>
          <w:numId w:val="2"/>
        </w:numPr>
        <w:spacing w:after="40" w:before="40"/>
      </w:pPr>
      <w:r>
        <w:rPr>
          <w:rFonts w:ascii="Arial" w:cs="Arial" w:eastAsia="Arial" w:hAnsi="Arial"/>
          <w:sz w:val="20"/>
          <w:szCs w:val="20"/>
        </w:rPr>
        <w:t xml:space="preserve">Your control: show the camera map. Explain opt-out. Explain the annual transparency report.</w:t>
      </w:r>
    </w:p>
    <w:p>
      <w:pPr>
        <w:pStyle w:val="ListParagraph"/>
        <w:numPr>
          <w:ilvl w:val="0"/>
          <w:numId w:val="2"/>
        </w:numPr>
        <w:spacing w:after="40" w:before="40"/>
      </w:pPr>
      <w:r>
        <w:rPr>
          <w:rFonts w:ascii="Arial" w:cs="Arial" w:eastAsia="Arial" w:hAnsi="Arial"/>
          <w:sz w:val="20"/>
          <w:szCs w:val="20"/>
        </w:rPr>
        <w:t xml:space="preserve">Questions — allocate 30 minutes minimum. Do not rush.</w:t>
      </w:r>
    </w:p>
    <w:p>
      <w:pPr>
        <w:pStyle w:val="ListParagraph"/>
        <w:numPr>
          <w:ilvl w:val="0"/>
          <w:numId w:val="2"/>
        </w:numPr>
        <w:spacing w:after="40" w:before="40"/>
      </w:pPr>
      <w:r>
        <w:rPr>
          <w:rFonts w:ascii="Arial" w:cs="Arial" w:eastAsia="Arial" w:hAnsi="Arial"/>
          <w:sz w:val="20"/>
          <w:szCs w:val="20"/>
        </w:rPr>
        <w:t xml:space="preserve">Next steps: pilot start date, how to opt in, where to find ongoing information.</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Hard Questions —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Hard Question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Prepared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'Who decides if a footage request from police is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MSSP NOC operator reviews the request against legal authority requirements. The community manager is notified of every request and every decision within 48 hours. No footage is shared without a case number and documented legal authority.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if there's a data breach?'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community footage is stored on community-owned hardware — your HOA's NAS device, not in a cloud company's server. A breach would affect your building's network — not a national database. If a breach occurs, you are notified within 48 hours per PIPEDA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if I don't want cameras in my community?'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This decision is made by the community through its normal governance process. For condos, the board votes. For HOAs, the rules may require a membership vote. We require that governance process to be completed before any installation.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 Amazon or Google access this footage?'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CivicMesh is not affiliated with Amazon, Google, or any US technology company. The footage is stored on your community's own NAS device. We have no ability to access it without your community manager's explicit action through the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'What happens to the cameras if we want to stop?'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 can cancel at any time with 60 days notice. We remove the cameras at no charge. All your footage is deleted or returned to you in standard format. CivicMesh retains no copies.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2026-05-30T05:33:33.021Z</dcterms:created>
  <dcterms:modified xsi:type="dcterms:W3CDTF">2026-05-30T05:33:33.021Z</dcterms:modified>
</cp:coreProperties>
</file>

<file path=docProps/custom.xml><?xml version="1.0" encoding="utf-8"?>
<Properties xmlns="http://schemas.openxmlformats.org/officeDocument/2006/custom-properties" xmlns:vt="http://schemas.openxmlformats.org/officeDocument/2006/docPropsVTypes"/>
</file>