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8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DC-CS-FED-001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D-CENTRAL GROUP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CivicMesh Inc. / TrafficMesh Technologies Inc.</w:t>
      </w:r>
    </w:p>
    <w:p>
      <w:pPr>
        <w:spacing w:after="300" w:before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CommunityShield Federation Protocol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DC-CS-FED-001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May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Author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Toussaint Redji Jean Baptiste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Confidential — Technical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SR&amp;ED Eligibility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Moderate — community-level federation protocol implementation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Related Documents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DC-CM-FED-001 | DC-CS-ARCH-001 | LEGAL-CM-012 | DC-CM-GOV-003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Three Clip Sharing Pathways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000"/>
        <w:gridCol w:w="2400"/>
        <w:gridCol w:w="12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Pathway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 Can Initiate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Audit Entry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Community Notification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Manual Submission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Community manager reviews incident in NOC dashboard and decides to share clip with municipal authority or law enforcement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Community manager only — no automated submission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Immediate — manager DID signature on submission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Summary in monthly NOC report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AI-Triggered Consent-Gated Share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Detection event exceeds threshold AND community manager has pre-configured automatic sharing for this event type AND this municipal partner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Automatic (pre-authorized by manager)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Immediate on submission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Real-time NOC dashboard alert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Formal Investigation Request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Law enforcement submits formal request through Officer Portal with legal authority documentation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Law enforcement only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Immediate — full detail logged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Community notification within 24 hours (may delay up to 30 days with judicial authorization)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Law Enforcement Request Handling Procedure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Request received in CivicMesh Officer Portal: case number, legal authority type, clip sought (time window, node ID or GPS area), submitting officer DID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Platform verifies: officer DID is active, officer holds valid OfficerAuthorizationCredential from a municipal partner with a federation agreement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Audit log entry created immediately: timestamp, officer DID, legal authority type, data scope, community IDs affected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MSSP legal review triggered for: REASONABLE_GROUNDS requests, requests covering residential doorbell footage, requests for footage older than 30 days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Approved request: clip package assembled with full chain of custody, delivered to officer's evidence workspace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Community notification dispatched within 24 hours: 'A [legal authority type] data request was received and [approved/denied] for [event type] footage from [date range]. Reference: [case number (redacted for active investigations).]'</w:t>
      </w:r>
    </w:p>
    <w:p>
      <w:pPr>
        <w:spacing w:after="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What CommunityShield Federation Does NOT Allow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Bulk historical footage requests without case reference — every request must be tied to a specific investigation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Requests from agencies without a valid Municipal Data Federation Agreement (LEGAL-CM-011)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Immigration enforcement agencies (CBSA, IRCC) — explicitly prohibited without court order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Civil litigation parties — law enforcement only (criminal and regulatory matters)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Requests from MSSPs themselves — MSSPs are operators, not requestors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2400"/>
        <w:gridCol w:w="44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May 2026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Toussaint Redji Jean Baptiste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Initial release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Classification Notice — This document is CONFIDENTIAL and intended for internal use, legal counsel, and authorized personnel only. Distribution requires written authorization from Toussaint Redji Jean Baptiste.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360"/>
      </w:tabs>
      <w:spacing w:after="0" w:before="80"/>
    </w:pPr>
    <w:r>
      <w:rPr>
        <w:rFonts w:ascii="Arial" w:cs="Arial" w:eastAsia="Arial" w:hAnsi="Arial"/>
        <w:color w:val="595959"/>
        <w:sz w:val="16"/>
        <w:szCs w:val="16"/>
      </w:rPr>
      <w:t xml:space="preserve">Toussaint Redji Jean Baptiste  |  D-Central Ecosystem  |  May 2026</w:t>
    </w:r>
    <w:r>
      <w:rPr>
        <w:rFonts w:ascii="Arial" w:cs="Arial" w:eastAsia="Arial" w:hAnsi="Arial"/>
        <w:color w:val="595959"/>
        <w:sz w:val="16"/>
        <w:szCs w:val="16"/>
      </w:rPr>
      <w:t xml:space="preserve">	Page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6"/>
        <w:szCs w:val="16"/>
      </w:rPr>
      <w:t xml:space="preserve"> of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360"/>
      </w:tabs>
      <w:spacing w:after="80" w:before="0"/>
    </w:pPr>
    <w:r>
      <w:rPr>
        <w:rFonts w:ascii="Arial" w:cs="Arial" w:eastAsia="Arial" w:hAnsi="Arial"/>
        <w:b/>
        <w:bCs/>
        <w:color w:val="1F3864"/>
        <w:sz w:val="16"/>
        <w:szCs w:val="16"/>
      </w:rPr>
      <w:t xml:space="preserve">D-Central Group  |  Confidential</w:t>
    </w:r>
    <w:r>
      <w:rPr>
        <w:rFonts w:ascii="Arial" w:cs="Arial" w:eastAsia="Arial" w:hAnsi="Arial"/>
        <w:color w:val="595959"/>
        <w:sz w:val="16"/>
        <w:szCs w:val="16"/>
      </w:rPr>
      <w:t xml:space="preserve">	Section 2 — Legal &amp; Corporate Structure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2026-05-26T02:12:36.247Z</dcterms:created>
  <dcterms:modified xsi:type="dcterms:W3CDTF">2026-05-26T02:12:36.247Z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