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DC-STRAT-001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Master Strategy Document</w:t>
      </w:r>
    </w:p>
    <w:p>
      <w:pPr>
        <w:spacing w:after="300" w:before="0"/>
        <w:jc w:val="center"/>
      </w:pPr>
      <w:r>
        <w:rPr>
          <w:rFonts w:ascii="Arial" w:cs="Arial" w:eastAsia="Arial" w:hAnsi="Arial"/>
          <w:color w:val="595959"/>
          <w:sz w:val="22"/>
          <w:szCs w:val="22"/>
        </w:rPr>
        <w:t xml:space="preserve">Vision · Mission · Ecosystem · Roadmap · Investment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Ecosystem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Group — Full Ecosystem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DC-STRAT-002 | DC-TM-BIZ-001 | DC-CM-BIZ-001 | DC-CM-GTM-001</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D-Central Group is a cooperative technology ecosystem building privacy-preserving, community-owned digital infrastructure across five strategic verticals: civic safety enforcement (CivicMesh), distributed connectivity (MeshTelecom), cooperative housing and property management (D-Central Housing), cooperative financial services (D-Central Credit Union), and open-source security infrastructure (OpenSecure). The Group's flagship product, CivicMesh, is a federated distributed enforcement platform that replaces private surveillance infrastructure with community-owned, auditable, privacy-preserving technology — generating revenue for communities while reducing government costs. All entities are structured as cooperatives or cooperative-linked corporations, anchored by a decentralized identity and credentialing system built on W3C DIDs and Verifiable Credentials recorded on the Polygon blockchain. The Group's development is designed to be 70–85% funded by non-dilutive Canadian government programmes (SR&amp;ED, IRAP, ISC, Mitacs) before any investor capital is required.</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Vision and Mission</w:t>
      </w:r>
    </w:p>
    <w:p>
      <w:pPr>
        <w:pStyle w:val="Heading2"/>
        <w:spacing w:after="120" w:before="240"/>
      </w:pPr>
      <w:r>
        <w:rPr>
          <w:rFonts w:ascii="Arial" w:cs="Arial" w:eastAsia="Arial" w:hAnsi="Arial"/>
          <w:b/>
          <w:bCs/>
          <w:color w:val="2E75B6"/>
          <w:sz w:val="26"/>
          <w:szCs w:val="26"/>
        </w:rPr>
        <w:t xml:space="preserve">1.1 Vision</w:t>
      </w:r>
    </w:p>
    <w:p>
      <w:pPr>
        <w:spacing w:after="80" w:before="80"/>
      </w:pPr>
      <w:r>
        <w:rPr>
          <w:rFonts w:ascii="Arial" w:cs="Arial" w:eastAsia="Arial" w:hAnsi="Arial"/>
          <w:color w:val="000000"/>
          <w:sz w:val="20"/>
          <w:szCs w:val="20"/>
        </w:rPr>
        <w:t xml:space="preserve">A world where the digital infrastructure communities depend on for safety, connectivity, housing, and finance is owned, governed, and operated by those communities — not extracted from them by private corporations.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1.2 Mission</w:t>
      </w:r>
    </w:p>
    <w:p>
      <w:pPr>
        <w:spacing w:after="80" w:before="80"/>
      </w:pPr>
      <w:r>
        <w:rPr>
          <w:rFonts w:ascii="Arial" w:cs="Arial" w:eastAsia="Arial" w:hAnsi="Arial"/>
          <w:color w:val="000000"/>
          <w:sz w:val="20"/>
          <w:szCs w:val="20"/>
        </w:rPr>
        <w:t xml:space="preserve">D-Central Group builds open-source, privacy-preserving, cooperative technology infrastructure that returns control, revenue, and governance to the communities it serves. Every platform we build follows the same principle: participants are members, not users; stakeholders, not subjects; beneficiaries, not products.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1.3 The Founding Problem</w:t>
      </w:r>
    </w:p>
    <w:p>
      <w:pPr>
        <w:spacing w:after="80" w:before="80"/>
      </w:pPr>
      <w:r>
        <w:rPr>
          <w:rFonts w:ascii="Arial" w:cs="Arial" w:eastAsia="Arial" w:hAnsi="Arial"/>
          <w:color w:val="000000"/>
          <w:sz w:val="20"/>
          <w:szCs w:val="20"/>
        </w:rPr>
        <w:t xml:space="preserve">Every major technology category that communities depend on has been captured by private corporations whose incentives are structurally misaligned with community welfare: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Private Incumbent Problem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D-Central Alternative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Community Safety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Ring/Flock: community data owned by private corporations, shared with law enforcement without consent, monetized without resident benefit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community-owned, privacy-preserving, federated, revenue returned to participants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Navigation &amp; Road Intelligence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Waze/Google: surveillance capitalism model, no compensation to contributors, data sold to advertisers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MeshNav: cooperative data model, contributors compensated, road intelligence community-owned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Connectivity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Rogers/Bell: extractive pricing, rural and low-income communities underserved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MeshTelecom: cooperative ISP, D-Central DePIN mesh, community-owned infrastructure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Housing Tech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Yardi/RealPage: landlord-side tools that extract from tenants, algorithmic rent coordination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DHC: tenant and member cooperative tools, community benefit embedded in architecture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19"/>
                <w:szCs w:val="19"/>
              </w:rPr>
              <w:t xml:space="preserve">Financial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Big 5 banks: fees extracted from low-income and newcomer communities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DECU: education-linked credit union, D-Credit cooperative currency, community financial infrastructure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2. Ecosystem Overview</w:t>
      </w:r>
    </w:p>
    <w:p>
      <w:pPr>
        <w:pStyle w:val="Heading2"/>
        <w:spacing w:after="120" w:before="240"/>
      </w:pPr>
      <w:r>
        <w:rPr>
          <w:rFonts w:ascii="Arial" w:cs="Arial" w:eastAsia="Arial" w:hAnsi="Arial"/>
          <w:b/>
          <w:bCs/>
          <w:color w:val="2E75B6"/>
          <w:sz w:val="26"/>
          <w:szCs w:val="26"/>
        </w:rPr>
        <w:t xml:space="preserve">2.1 The Five Verticals</w:t>
      </w:r>
    </w:p>
    <w:p>
      <w:pPr>
        <w:spacing w:after="80" w:before="80"/>
      </w:pPr>
      <w:r>
        <w:rPr>
          <w:rFonts w:ascii="Arial" w:cs="Arial" w:eastAsia="Arial" w:hAnsi="Arial"/>
          <w:color w:val="000000"/>
          <w:sz w:val="20"/>
          <w:szCs w:val="20"/>
        </w:rPr>
        <w:t xml:space="preserve">D-Central Group operates across five strategic verticals, each implemented as a cooperative entity or cooperative-linked corporation, each generating independent revenue while feeding the shared platform ecosystem.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1800"/>
        <w:gridCol w:w="13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Vertical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Flagship Product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Model</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 Safety &amp; Enforcement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Inc. / TrafficMesh Technologies Inc. / CommunityShield Inc.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Platform (TrafficMesh, CommunityShield, MeshPlate, MeshEar, MeshNav)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platform fees, citation revenue share, insurance data API, training certification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 Building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Distributed Connectivity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MeshTelecom Cooperative / D-Central ISP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DePIN mesh network, cooperative ISP, community broadband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ISP subscription, node operator rewards, D-Credit integration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Planning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Housing &amp; Property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Housing Cooperative (DHC)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property management platform, community land trust tools, SHI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Management fees, cooperative membership, government housing grants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Planning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Financial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Education Credit Union (DECU)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D-Credit cooperative currency, education-linked lending, newcomer financial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Interest income, transaction fees, D-Credit velocity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Regulatory path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Source Security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OpenSecure Platform / D-Central Shield / D-Central Guard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OS-PATROL, OS-GUARDIAN, CivicMesh security layer, MSSP/SOC/NOC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contracts, SOC-as-a-service, government security contracts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 Building</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The Cooperative Structure</w:t>
      </w:r>
    </w:p>
    <w:p>
      <w:pPr>
        <w:spacing w:after="80" w:before="80"/>
      </w:pPr>
      <w:r>
        <w:rPr>
          <w:rFonts w:ascii="Arial" w:cs="Arial" w:eastAsia="Arial" w:hAnsi="Arial"/>
          <w:color w:val="000000"/>
          <w:sz w:val="20"/>
          <w:szCs w:val="20"/>
        </w:rPr>
        <w:t xml:space="preserve">Every participant-facing entity in the D-Central ecosystem is structured as, or directly linked to, a cooperative. This is not incidental — it is the structural mechanism by which the Group's mission is embedded into every transaction, every governance decision, and every revenue distribution.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Cooperative Principle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Implementation in D-Central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Open and Voluntary Membership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resident, technician, MSSP operator, or community organization can join the relevant cooperative. Membership is gated by credential, not by capital.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Democratic Member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One member, one vote on cooperative governance. CCSC members vote on community safety policies. MSSP Cooperative members vote on platform standards. Training Cooperative members co-develop curriculum.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Member Economic Participation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Patronage returns flow to members proportional to their contribution. Citation revenue flows to node owners. Platform fee revenue flows to MSSP cooperative members. Training revenue flows to accredited providers.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Autonomy and Independence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Cooperatives are autonomous legal entities. D-Central Group provides the platform and technical infrastructure but does not control cooperative governance.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Education, Training, Information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D-Central Training Institute is itself a cooperative. Knowledge and certification are treated as community assets, not proprietary advantages.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Cooperation Among Cooperatives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D-Central cooperatives are designed to interoperate. D-Credit is the shared economic layer. DID/VC credentials are portable across all entities. Data governance standards are shared.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Concern for Community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 platform decision is evaluated against community benefit. The DeFlock risk — technology becoming surveillance infrastructure — is addressed structurally through open source, auditability, and community ownership.</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3. D-Credit — The Cooperative Economic Layer</w:t>
      </w:r>
    </w:p>
    <w:p>
      <w:pPr>
        <w:spacing w:after="80" w:before="80"/>
      </w:pPr>
      <w:r>
        <w:rPr>
          <w:rFonts w:ascii="Arial" w:cs="Arial" w:eastAsia="Arial" w:hAnsi="Arial"/>
          <w:color w:val="000000"/>
          <w:sz w:val="20"/>
          <w:szCs w:val="20"/>
        </w:rPr>
        <w:t xml:space="preserve">D-Credit is the cooperative currency that unifies revenue flows across all D-Central entities. It is not a speculative cryptocurrency — it is a community accounting unit, redeemable within the D-Central ecosystem, convertible to CAD at a fixed rate, and earned by contributing to the network.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D-Credit Function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Patronage 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Citation revenue shares, MSSP cooperative patronage, training cooperative revenue, and government stipends can all be paid in D-Credit.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Ecosystem Spending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D-Credit is accepted for CivicMesh training certification fees, cooperative membership fees, MSSP platform fees (discounted rate), and D-Central Housing cooperative contributions.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CAD Conversion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Members can convert D-Credit to CAD through DECU at a fixed rate. This creates a cash-out pathway without requiring D-Credit to have speculative market value.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Velocity Incentive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Spending D-Credit within the ecosystem earns a velocity bonus — members who circulate D-Credit within the cooperative network receive a small additional patronage return, increasing local economic density.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Government Alignment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D-Credit is designed to be compatible with Canadian community currency regulations and is structured to avoid securities classification. Legal opinion commissioned in LEGAL-CM-014.</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4. CivicMesh — Flagship Vertical</w:t>
      </w:r>
    </w:p>
    <w:p>
      <w:pPr>
        <w:spacing w:after="80" w:before="80"/>
      </w:pPr>
      <w:r>
        <w:rPr>
          <w:rFonts w:ascii="Arial" w:cs="Arial" w:eastAsia="Arial" w:hAnsi="Arial"/>
          <w:color w:val="000000"/>
          <w:sz w:val="20"/>
          <w:szCs w:val="20"/>
        </w:rPr>
        <w:t xml:space="preserve">CivicMesh is D-Central Group's first fully developed vertical and the proof of concept for the cooperative technology infrastructure model. It is described in full in DC-CM-BIZ-001. The summary below situates CivicMesh within the Group strategy.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4.1 Why CivicMesh is First</w:t>
      </w:r>
    </w:p>
    <w:p>
      <w:pPr>
        <w:spacing w:after="80" w:before="80"/>
      </w:pPr>
      <w:r>
        <w:rPr>
          <w:rFonts w:ascii="Arial" w:cs="Arial" w:eastAsia="Arial" w:hAnsi="Arial"/>
          <w:color w:val="000000"/>
          <w:sz w:val="20"/>
          <w:szCs w:val="20"/>
        </w:rPr>
        <w:t xml:space="preserve">CivicMesh was chosen as the first vertical for five reasons:</w:t>
      </w:r>
    </w:p>
    <w:p>
      <w:pPr>
        <w:pStyle w:val="ListParagraph"/>
        <w:numPr>
          <w:ilvl w:val="0"/>
          <w:numId w:val="2"/>
        </w:numPr>
        <w:spacing w:after="40" w:before="40"/>
      </w:pPr>
      <w:r>
        <w:rPr>
          <w:rFonts w:ascii="Arial" w:cs="Arial" w:eastAsia="Arial" w:hAnsi="Arial"/>
          <w:sz w:val="20"/>
          <w:szCs w:val="20"/>
        </w:rPr>
        <w:t xml:space="preserve">Market urgency: Ontario's November 2025 ASE camera ban created an immediate, documented $38.7M annual revenue gap for Ottawa alone. Municipalities need an alternative now.</w:t>
      </w:r>
    </w:p>
    <w:p>
      <w:pPr>
        <w:pStyle w:val="ListParagraph"/>
        <w:numPr>
          <w:ilvl w:val="0"/>
          <w:numId w:val="2"/>
        </w:numPr>
        <w:spacing w:after="40" w:before="40"/>
      </w:pPr>
      <w:r>
        <w:rPr>
          <w:rFonts w:ascii="Arial" w:cs="Arial" w:eastAsia="Arial" w:hAnsi="Arial"/>
          <w:sz w:val="20"/>
          <w:szCs w:val="20"/>
        </w:rPr>
        <w:t xml:space="preserve">Non-dilutive funding alignment: Edge AI, privacy-preserving data pipelines, and novel evidence chain-of-custody systems are all SR&amp;ED and IRAP eligible. Up to 88% of R&amp;D salaries can be government-subsidized during development.</w:t>
      </w:r>
    </w:p>
    <w:p>
      <w:pPr>
        <w:pStyle w:val="ListParagraph"/>
        <w:numPr>
          <w:ilvl w:val="0"/>
          <w:numId w:val="2"/>
        </w:numPr>
        <w:spacing w:after="40" w:before="40"/>
      </w:pPr>
      <w:r>
        <w:rPr>
          <w:rFonts w:ascii="Arial" w:cs="Arial" w:eastAsia="Arial" w:hAnsi="Arial"/>
          <w:sz w:val="20"/>
          <w:szCs w:val="20"/>
        </w:rPr>
        <w:t xml:space="preserve">Regulatory path clarity: Vehicle-mounted enforcement on city fleet vehicles operates under existing HTA authority. No new legislation is required for the OC Transpo pilot. A legal opinion confirming this is the first Track A deliverable.</w:t>
      </w:r>
    </w:p>
    <w:p>
      <w:pPr>
        <w:pStyle w:val="ListParagraph"/>
        <w:numPr>
          <w:ilvl w:val="0"/>
          <w:numId w:val="2"/>
        </w:numPr>
        <w:spacing w:after="40" w:before="40"/>
      </w:pPr>
      <w:r>
        <w:rPr>
          <w:rFonts w:ascii="Arial" w:cs="Arial" w:eastAsia="Arial" w:hAnsi="Arial"/>
          <w:sz w:val="20"/>
          <w:szCs w:val="20"/>
        </w:rPr>
        <w:t xml:space="preserve">Private sector flywheel: Every new node improves coverage, improving enforcement accuracy, improving insurance data quality, attracting more insurance subscribers, funding more civilian opt-in incentives, driving more node deployment.</w:t>
      </w:r>
    </w:p>
    <w:p>
      <w:pPr>
        <w:pStyle w:val="ListParagraph"/>
        <w:numPr>
          <w:ilvl w:val="0"/>
          <w:numId w:val="2"/>
        </w:numPr>
        <w:spacing w:after="40" w:before="40"/>
      </w:pPr>
      <w:r>
        <w:rPr>
          <w:rFonts w:ascii="Arial" w:cs="Arial" w:eastAsia="Arial" w:hAnsi="Arial"/>
          <w:sz w:val="20"/>
          <w:szCs w:val="20"/>
        </w:rPr>
        <w:t xml:space="preserve">Competitive gap: No existing player combines mobile nodes, civilian opt-in with revenue share, open source, community ownership, and insurance API. The gap is real and confirmed by competitive analysis (DC-CM-STRAT-001).</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4.2 The Five CivicMesh Modules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28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Module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Replaces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 Benefit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SR&amp;ED Eligibility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TrafficMesh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Fixed ASE cameras, Flock Safety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revenue share, digital twin, transit improvement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Primary — edge AI, ALPR, digital twin R&amp;D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CommunityShield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Ring Neighbors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Compensation for node contribution, data ownership, opt-out rights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Strong — privacy-preserving AI, on-device blurring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Flock/Motorola Vigilant (national 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private database, community owns LPR data, legal query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Novel — hash-before-store privacy architecture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ShotSpotter/SoundThinking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triage before dispatch, private security integration, no audio 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Primary — on-device acoustic AI model development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MeshNav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Waze/Google Maps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Better 24/7 data from city fleet, enforcement zone transparency, digital twin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Strong — navigation data fusion pipeline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5. Government Funding Strategy</w:t>
      </w:r>
    </w:p>
    <w:p>
      <w:pPr>
        <w:spacing w:after="80" w:before="80"/>
      </w:pPr>
      <w:r>
        <w:rPr>
          <w:rFonts w:ascii="Arial" w:cs="Arial" w:eastAsia="Arial" w:hAnsi="Arial"/>
          <w:color w:val="000000"/>
          <w:sz w:val="20"/>
          <w:szCs w:val="20"/>
        </w:rPr>
        <w:t xml:space="preserve">D-Central Group is designed from the ground up to maximize non-dilutive Canadian government funding. The goal is to cover 70–85% of development costs through government programmes before any equity investor capital is required. This changes the investor conversation from funding development risk to funding scaling a validated product.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24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Programme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Funds</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SR&amp;ED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R&amp;D salaries and materials — edge AI, ALPR, digital twin, DID/VC pipeline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65% salary refund (CCPC refundable)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after fiscal year close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NRC IRAP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R&amp;D labour (80%) and contractor costs (50%) — dual-use/public safety stream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80% of eligible salaries, monthly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during approved project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Accelerate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Graduate student researchers — computer vision, law, distributed systems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$7,500 partner → $15,000 research labour per unit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4–6 month internship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Mitacs Entrepreneur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Founder stipend for student entrepreneur at approved incubator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$7,500 per internship unit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internship, requires incubator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ISC Phase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PoC development grant — Public Safety Canada / Transport Canada challenge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$150,000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6-month sprint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ISC Phase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platform build — RCMP or smart city challenge response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Up to $1,000,000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2-year build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FedDev Ontario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Regional technology growth for Ottawa-based digital/AI company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 project-based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Project 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Smart Cities Challenge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as community-owned smart city infrastructure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Variable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challenge cycle</w:t>
            </w:r>
          </w:p>
        </w:tc>
      </w:tr>
    </w:tbl>
    <w:p>
      <w:pPr>
        <w:spacing w:after="0" w:before="120"/>
      </w:pPr>
      <w:r>
        <w:t xml:space="preserve"/>
      </w:r>
    </w:p>
    <w:p>
      <w:pPr>
        <w:spacing w:after="80" w:before="80"/>
      </w:pPr>
      <w:r>
        <w:rPr>
          <w:rFonts w:ascii="Arial" w:cs="Arial" w:eastAsia="Arial" w:hAnsi="Arial"/>
          <w:color w:val="000000"/>
          <w:sz w:val="20"/>
          <w:szCs w:val="20"/>
        </w:rPr>
        <w:t xml:space="preserve">The IRAP + SR&amp;ED combination is the most powerful: IRAP reimburses up to 80% of eligible salaries monthly during the project. SR&amp;ED then refunds a portion of the remaining 20% annually. Stacked correctly, the founder can draw a market-rate salary while the government covers the majority of that cost.</w:t>
      </w:r>
    </w:p>
    <w:p>
      <w:pPr>
        <w:spacing w:after="0" w:before="120"/>
      </w:pPr>
      <w:r>
        <w:t xml:space="preserve"/>
      </w:r>
    </w:p>
    <w:p>
      <w:pPr>
        <w:spacing w:after="80" w:before="80"/>
      </w:pPr>
      <w:r>
        <w:rPr>
          <w:rFonts w:ascii="Arial" w:cs="Arial" w:eastAsia="Arial" w:hAnsi="Arial"/>
          <w:color w:val="000000"/>
          <w:sz w:val="20"/>
          <w:szCs w:val="20"/>
        </w:rPr>
        <w:t xml:space="preserve">Action priority: SR&amp;ED ledger setup and IRAP application are Day-1 blockers. IRAP does not fund work already completed. Both programmes require contemporaneous documentation — GitHub commit logs, Linear/Jira tasks, and technical decision logs created on the day R&amp;D occurs.</w:t>
      </w:r>
    </w:p>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6. Ten-Year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760"/>
        <w:gridCol w:w="2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Timeline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Milestones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1 —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Months 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Incorporate. SR&amp;ED/IRAP active. Training Institute launched. First 5 CommunityShield HOA deployments. Software-only MVP built. Legal opinions received.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Training certification fees. HOA NOC revenue.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2 — OC Transpo Pilot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Months 6–12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First TrafficMesh node on personal vehicle. OC Transpo pilot proposal submitted and accepted. Officer review portal demo-ready. First Mitacs research partner engaged.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MSSP pilot revenue. IRAP reimbursements flowing.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3 — City Fleet Expansion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live. City of Ottawa fleet deployment begins. Contractor node kit programme. First external MSSP certified. ISC Phase 1 award.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Enforcement citation revenue. Expanded MSSP fees.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4 — Civilian Opt-In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2–3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Civilian opt-in programme launch. Insurance API partnerships. MeshNav public beta. CCSC cooperative open for membership. First patronage distributions.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API subscriptions. Civilian node patronage.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5 — Multi-City Expansion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3–5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Hamilton, Mississauga, Toronto, Gatineau pilots. Multiple MSSP partners nationally. Series A investment (scaling, not development). MeshTelecom cooperative launched.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Multi-city MSSP fees. National data marketplace.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6 — Platform Maturity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5–10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five-module CivicMesh live. DECU credit union operational. DHC cooperative housing live. D-Credit accepted across all verticals. International expansion (US, UK, Australia).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 cooperative economy generating self-sustaining revenue.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7. Investment Thesis</w:t>
      </w:r>
    </w:p>
    <w:p>
      <w:pPr>
        <w:pStyle w:val="Heading2"/>
        <w:spacing w:after="120" w:before="240"/>
      </w:pPr>
      <w:r>
        <w:rPr>
          <w:rFonts w:ascii="Arial" w:cs="Arial" w:eastAsia="Arial" w:hAnsi="Arial"/>
          <w:b/>
          <w:bCs/>
          <w:color w:val="2E75B6"/>
          <w:sz w:val="26"/>
          <w:szCs w:val="26"/>
        </w:rPr>
        <w:t xml:space="preserve">7.1 The Market Opportunity</w:t>
      </w:r>
    </w:p>
    <w:p>
      <w:pPr>
        <w:spacing w:after="80" w:before="80"/>
      </w:pPr>
      <w:r>
        <w:rPr>
          <w:rFonts w:ascii="Arial" w:cs="Arial" w:eastAsia="Arial" w:hAnsi="Arial"/>
          <w:color w:val="000000"/>
          <w:sz w:val="20"/>
          <w:szCs w:val="20"/>
        </w:rPr>
        <w:t xml:space="preserve">The addressable market for CivicMesh alone spans municipal enforcement infrastructure, community safety technology, navigation data, and insurance telematics — a combined global market exceeding $50 billion annually. Comparable companies: Flock Safety ($7.5B valuation), Nexar ($500M+), ShotSpotter ($300M acquisition). None of them have the community-owned, privacy-preserving, open source positioning that eliminates the political and regulatory risk those companies face.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7.2 The Cooperative Moat</w:t>
      </w:r>
    </w:p>
    <w:p>
      <w:pPr>
        <w:spacing w:after="80" w:before="80"/>
      </w:pPr>
      <w:r>
        <w:rPr>
          <w:rFonts w:ascii="Arial" w:cs="Arial" w:eastAsia="Arial" w:hAnsi="Arial"/>
          <w:color w:val="000000"/>
          <w:sz w:val="20"/>
          <w:szCs w:val="20"/>
        </w:rPr>
        <w:t xml:space="preserve">The cooperative structure creates switching costs that no conventional competitor can replicate. When participants are members — when their node earns them patronage, when their cooperative membership gives them governance rights, when their D-Credit circulates within the local economy — leaving the network means losing a financial relationship, not just switching software. This is a structurally different retention mechanism than a subscription or a hardware lock-in.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7.3 The Government Validation Premium</w:t>
      </w:r>
    </w:p>
    <w:p>
      <w:pPr>
        <w:spacing w:after="80" w:before="80"/>
      </w:pPr>
      <w:r>
        <w:rPr>
          <w:rFonts w:ascii="Arial" w:cs="Arial" w:eastAsia="Arial" w:hAnsi="Arial"/>
          <w:color w:val="000000"/>
          <w:sz w:val="20"/>
          <w:szCs w:val="20"/>
        </w:rPr>
        <w:t xml:space="preserve">When D-Central walks into an investor meeting, it will carry: IRAP approval (NRC has validated the technical merit), SR&amp;ED claims (CRA has validated the R&amp;D expenditure), an ISC award (a federal department has validated the commercial potential), a legal opinion (confirming HTA compliance for the OC Transpo pilot), and a live municipal pilot with revenue data. That is not a startup asking an investor to fund an idea. That is a company asking an investor to fund the scaling of a government-validated product. The investor risk profile is categorically different — and the valuation should reflect that.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7.4 The Network Effect Compounding</w:t>
      </w:r>
    </w:p>
    <w:p>
      <w:pPr>
        <w:spacing w:after="80" w:before="80"/>
      </w:pPr>
      <w:r>
        <w:rPr>
          <w:rFonts w:ascii="Arial" w:cs="Arial" w:eastAsia="Arial" w:hAnsi="Arial"/>
          <w:color w:val="000000"/>
          <w:sz w:val="20"/>
          <w:szCs w:val="20"/>
        </w:rPr>
        <w:t xml:space="preserve">Every new node improves coverage. Better coverage improves enforcement accuracy. Better enforcement accuracy improves insurance data quality. Better insurance data attracts more insurer subscriptions. More insurer subscription revenue funds more civilian opt-in incentives. More civilian opt-in adds more nodes. The flywheel accelerates with scale, and it cannot be easily replicated by a new entrant once it is running — because the data asset, the coverage density, and the community relationships all compound simultaneously.</w:t>
      </w:r>
    </w:p>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p>
      <w:pPr>
        <w:spacing w:after="80" w:before="80"/>
      </w:pPr>
      <w:r>
        <w:rPr>
          <w:rFonts w:ascii="Arial" w:cs="Arial" w:eastAsia="Arial" w:hAnsi="Arial"/>
          <w:color w:val="000000"/>
          <w:sz w:val="20"/>
          <w:szCs w:val="20"/>
        </w:rPr>
        <w:t xml:space="preserve">This document is confidential and intended for internal strategic planning, investor briefings, and board review. Do not distribute without authorization from Toussaint Redji Jean Baptiste.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1 — Group Strategy &amp; Corporate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2026-05-21T18:22:27.189Z</dcterms:created>
  <dcterms:modified xsi:type="dcterms:W3CDTF">2026-05-21T18:22:27.203Z</dcterms:modified>
</cp:coreProperties>
</file>

<file path=docProps/custom.xml><?xml version="1.0" encoding="utf-8"?>
<Properties xmlns="http://schemas.openxmlformats.org/officeDocument/2006/custom-properties" xmlns:vt="http://schemas.openxmlformats.org/officeDocument/2006/docPropsVTypes"/>
</file>