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F3864"/>
          <w:sz w:val="56"/>
          <w:szCs w:val="56"/>
        </w:rPr>
        <w:t xml:space="preserve">INV-003</w:t>
      </w:r>
    </w:p>
    <w:p>
      <w:pPr>
        <w:spacing w:after="40" w:before="0"/>
        <w:jc w:val="center"/>
      </w:pPr>
      <w:r>
        <w:rPr>
          <w:rFonts w:ascii="Arial" w:cs="Arial" w:eastAsia="Arial" w:hAnsi="Arial"/>
          <w:b/>
          <w:bCs/>
          <w:color w:val="2E75B6"/>
          <w:sz w:val="28"/>
          <w:szCs w:val="28"/>
        </w:rPr>
        <w:t xml:space="preserve">D-CENTRAL GROUP</w:t>
      </w:r>
    </w:p>
    <w:p>
      <w:pPr>
        <w:spacing w:after="40" w:before="0"/>
        <w:jc w:val="center"/>
      </w:pPr>
      <w:r>
        <w:rPr>
          <w:rFonts w:ascii="Arial" w:cs="Arial" w:eastAsia="Arial" w:hAnsi="Arial"/>
          <w:b/>
          <w:bCs/>
          <w:color w:val="1F3864"/>
          <w:sz w:val="40"/>
          <w:szCs w:val="40"/>
        </w:rPr>
        <w:t xml:space="preserve">D-Central Group Inc.</w:t>
      </w:r>
    </w:p>
    <w:p>
      <w:pPr>
        <w:spacing w:after="300" w:before="0"/>
        <w:jc w:val="center"/>
      </w:pPr>
      <w:r>
        <w:rPr>
          <w:rFonts w:ascii="Arial" w:cs="Arial" w:eastAsia="Arial" w:hAnsi="Arial"/>
          <w:color w:val="595959"/>
          <w:sz w:val="22"/>
          <w:szCs w:val="22"/>
        </w:rPr>
        <w:t xml:space="preserve">D-Central Group — One-Pager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INV-003</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1.0</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Draft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May 2026</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Toussaint Redji Jean Baptiste</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Classification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Confidential</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Format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Single-page executive summary for cold outreach and intro meetings</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Audience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All investor types — first contact</w:t>
            </w:r>
          </w:p>
        </w:tc>
      </w:tr>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top"/>
          </w:tcPr>
          <w:p>
            <w:pPr>
              <w:jc w:val="left"/>
            </w:pPr>
            <w:r>
              <w:rPr>
                <w:rFonts w:ascii="Arial" w:cs="Arial" w:eastAsia="Arial" w:hAnsi="Arial"/>
                <w:b/>
                <w:bCs/>
                <w:color w:val="1F3864"/>
                <w:sz w:val="20"/>
                <w:szCs w:val="20"/>
              </w:rPr>
              <w:t xml:space="preserve">Related Documents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20"/>
                <w:szCs w:val="20"/>
              </w:rPr>
              <w:t xml:space="preserve">INV-001 | DC-STRAT-003 | DC-STRAT-002</w:t>
            </w:r>
          </w:p>
        </w:tc>
      </w:tr>
    </w:tbl>
    <w:p>
      <w:pPr>
        <w:spacing w:after="0" w:before="200"/>
      </w:pPr>
      <w:r>
        <w:t xml:space="preserve"/>
      </w:r>
    </w:p>
    <w:p>
      <w:r>
        <w:br w:type="page"/>
      </w:r>
    </w:p>
    <w:p>
      <w:pPr>
        <w:pStyle w:val="Heading1"/>
        <w:spacing w:after="160" w:before="320"/>
      </w:pPr>
      <w:r>
        <w:rPr>
          <w:rFonts w:ascii="Arial" w:cs="Arial" w:eastAsia="Arial" w:hAnsi="Arial"/>
          <w:b/>
          <w:bCs/>
          <w:color w:val="1F3864"/>
          <w:sz w:val="32"/>
          <w:szCs w:val="32"/>
        </w:rPr>
        <w:t xml:space="preserve">1. One-Pager Content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Section</w:t>
            </w:r>
          </w:p>
        </w:tc>
        <w:tc>
          <w:tcPr>
            <w:tcW w:type="dxa" w:w="7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Content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Headline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D-Central Group — Community-owned civic safety infrastructure. The cooperative alternative to Flock Safety, Ring, and ShotSpotter.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Problem</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Ontario banned automated speed cameras in November 2025. Ottawa lost $38.7M in annual enforcement revenue. 444 Ontario municipalities have the same problem. Existing solutions (Flock Safety, Ring) have no community benefit and face organized resistance.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Solution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CivicMesh: a distributed community safety platform built on existing city vehicles and resident dashcams. Mobile nodes. Human review before every citation. Revenue shared with the community. Open source and auditable. Canadian data residency.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Traction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OC Transpo pilot proposal in process. 5 HOA deployments confirmed. IRAP funded. SR&amp;ED documentation active. Training revenue from Day 1.</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Government Funding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$300,000–$600,000 in non-dilutive government funding covering 70–85% of development costs before investor capital is required (IRAP, SR&amp;ED, ISC, Mitacs).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Market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$7.5B Flock Safety (fixed LPR). $500M+ Nexar (digital twin). $300M ShotSpotter (acoustic). $1.3B Waze (navigation). CivicMesh competes in all four categories with a community-owned, privacy-preserving model that incumbents cannot structurally replicate.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The Ask</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$500,000–$750,000 seed round. SAFE. $4M–$6M valuation cap. Use: technical staff, city fleet hardware, legal, business development.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Contact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Toussaint Redji Jean Baptiste | D-Central Group | toussaint@dcentralgroup.ca | dcentralgroup.ca</w:t>
            </w:r>
          </w:p>
        </w:tc>
      </w:tr>
    </w:tbl>
    <w:p>
      <w:pPr>
        <w:pStyle w:val="Heading1"/>
        <w:spacing w:after="160" w:before="320"/>
      </w:pPr>
      <w:r>
        <w:rPr>
          <w:rFonts w:ascii="Arial" w:cs="Arial" w:eastAsia="Arial" w:hAnsi="Arial"/>
          <w:b/>
          <w:bCs/>
          <w:color w:val="1F3864"/>
          <w:sz w:val="32"/>
          <w:szCs w:val="3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2400"/>
        <w:gridCol w:w="446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Ver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Date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Author</w:t>
            </w:r>
          </w:p>
        </w:tc>
        <w:tc>
          <w:tcPr>
            <w:tcW w:type="dxa" w:w="44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pPr>
              <w:jc w:val="left"/>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May 2026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Toussaint Redji Jean Baptiste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8"/>
                <w:szCs w:val="18"/>
              </w:rPr>
              <w:t xml:space="preserve">Initial release</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color w:val="595959"/>
                <w:sz w:val="18"/>
                <w:szCs w:val="18"/>
              </w:rPr>
              <w:t xml:space="preserve">Classification Notice — This document is CONFIDENTIAL and intended for internal use, legal counsel, and authorized personnel only. Distribution requires written authorization from Toussaint Redji Jean Baptiste.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after="0" w:before="80"/>
    </w:pPr>
    <w:r>
      <w:rPr>
        <w:rFonts w:ascii="Arial" w:cs="Arial" w:eastAsia="Arial" w:hAnsi="Arial"/>
        <w:color w:val="595959"/>
        <w:sz w:val="16"/>
        <w:szCs w:val="16"/>
      </w:rPr>
      <w:t xml:space="preserve">Toussaint Redji Jean Baptiste  |  D-Central Ecosystem  |  May 2026</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of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80" w:before="0"/>
    </w:pPr>
    <w:r>
      <w:rPr>
        <w:rFonts w:ascii="Arial" w:cs="Arial" w:eastAsia="Arial" w:hAnsi="Arial"/>
        <w:b/>
        <w:bCs/>
        <w:color w:val="1F3864"/>
        <w:sz w:val="16"/>
        <w:szCs w:val="16"/>
      </w:rPr>
      <w:t xml:space="preserve">D-Central Group  |  Confidential</w:t>
    </w:r>
    <w:r>
      <w:rPr>
        <w:rFonts w:ascii="Arial" w:cs="Arial" w:eastAsia="Arial" w:hAnsi="Arial"/>
        <w:color w:val="595959"/>
        <w:sz w:val="16"/>
        <w:szCs w:val="16"/>
      </w:rPr>
      <w:t xml:space="preserve">	Section 2 — Legal &amp; Corporate Structure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2026-05-31T22:01:52.690Z</dcterms:created>
  <dcterms:modified xsi:type="dcterms:W3CDTF">2026-05-31T22:01:52.690Z</dcterms:modified>
</cp:coreProperties>
</file>

<file path=docProps/custom.xml><?xml version="1.0" encoding="utf-8"?>
<Properties xmlns="http://schemas.openxmlformats.org/officeDocument/2006/custom-properties" xmlns:vt="http://schemas.openxmlformats.org/officeDocument/2006/docPropsVTypes"/>
</file>