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INV-005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CivicMesh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Deep competitive analysis for investor due diligence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Demonstrate that CivicMesh occupies an unoccupied competitive position that incumbents cannot enter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DC-STRAT-005 | MKT-CM-GOV-002 | INV-001 | INV-002</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Competitive Map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800"/>
        <w:gridCol w:w="2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Competitor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Valuation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Core Product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Vulnerability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CivicMesh Advantage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Flock Safety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$7.5B (Series E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Fixed LPR network — 5,000+ US cities, 20B scans/month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DeFlock.me — 30+ organized community opposition groups. No community benefit. US company — CLOUD Act exposure. Unpermitted installations (Forbes 2024). No Canadian privacy compliance.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Community-owned, no national private database, PIPEDA compliant, Canadian CCPC, cooperative revenue share, open source and auditable.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Nexar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$500M+ (2023)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Crowdsourced digital twin + road intelligence from civilian dashcams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enforcement. No community revenue share. Random civilian coverage — gaps at low traffic times. US company.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Systematic city fleet coverage (no gaps), enforcement integration, cooperative patronage, Canadian data residency.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ShotSpotter / SoundThinking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$300M (2023 acquisition)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acoustic gunshot detection — 150+ US cities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false positive rate causing alert fatigue. Private US company owning all data. Racial deployment bias criticism. No community benefit.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processing only (no audio stored), community triage before dispatch, privacy-preserving design, cooperative governance.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Ring / Amazon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acquisition $1.2B (2018)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Consumer doorbell cameras + Neighbors community alert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owns all data. Footage shared with law enforcement without warrant. No community benefit. US company — privacy exposure.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Community-owned storage, no Amazon dependency, cooperative patronage, formal legal request required, Canadian data residency.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Motorola Vigilant ALPR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Private (Motorola Solutions subsidiary)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Fixed and mobile ALPR — law enforcement focused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Proprietary, no community benefit, US company, integration with controversial data brokers.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source, community-owned, hash-before-store, no data broker integration covenant.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 / Google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$1.3B acquisition (2013)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Crowdsourced navigation — 150M+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Surveillance capitalism model. Google collects and monetizes location data. No contributor compensation. US company.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data ownership, D-Credit contributor compensation, superior 24/7 data from city fleet, no advertising.</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The Competitive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What no one has built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Mobile nodes + civilian opt-in with revenue share + open source + community ownership + privacy-preserving architecture + Canadian compliance + cooperative governance + insurance API + digital twin from systematic city fleet coverage. The intersection of all these attributes is unoccupied.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Why it stays unoccupied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Flock Safety cannot add community revenue share without destroying investor returns. Ring cannot add community data ownership without destroying Amazon's data product. Waze cannot add contributor compensation without eliminating its advertising model. The incumbents' business models are structurally incompatible with the community-ownership model.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The replication paradox (from DC-STRAT-005)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 replicate D-Central, a competitor must become a cooperative. Becoming a cooperative means returning revenue to members instead of shareholders. This eliminates the business model that makes the competitor attractive to private capital. The cooperative structure is simultaneously the mission and the moat.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Canadian Market — First Mover Advantage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Dimension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 Market Status</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Canadian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Flock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 US cities deployed. Market largely penetrated in major urban areas.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major Canadian deployment. Flock's CLOUD Act exposure and US ownership are active procurement barriers in Canadian municipalities.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ShotSpotter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Deployed in 150+ US cities — many now cancelling after backlash.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Toronto and other Canadian cities have explicitly avoided ShotSpotter due to civil liberties concerns. Vacuum exists for privacy-preserving alternative.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Ring / Amazon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Dominant in US residential market. DHS data sharing revelations generating backlash.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Canadian consumers are more privacy-conscious. No dominant player in community camera space with Canadian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Google-owned, dominant in US. Canadian market served but not locally owned.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Canadian-owned cooperative navigation alternative. MeshNav's Ottawa data advantage is strongest in the market you build first.</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2026-05-31T22:01:52.840Z</dcterms:created>
  <dcterms:modified xsi:type="dcterms:W3CDTF">2026-05-31T22:01:52.840Z</dcterms:modified>
</cp:coreProperties>
</file>

<file path=docProps/custom.xml><?xml version="1.0" encoding="utf-8"?>
<Properties xmlns="http://schemas.openxmlformats.org/officeDocument/2006/custom-properties" xmlns:vt="http://schemas.openxmlformats.org/officeDocument/2006/docPropsVTypes"/>
</file>