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480"/>
        <w:jc w:val="center"/>
      </w:pPr>
      <w:r>
        <w:rPr>
          <w:rFonts w:ascii="Arial" w:cs="Arial" w:eastAsia="Arial" w:hAnsi="Arial"/>
          <w:b/>
          <w:bCs/>
          <w:color w:val="1F3864"/>
          <w:sz w:val="56"/>
          <w:szCs w:val="56"/>
        </w:rPr>
        <w:t xml:space="preserve">INV-006</w:t>
      </w:r>
    </w:p>
    <w:p>
      <w:pPr>
        <w:spacing w:after="40" w:before="0"/>
        <w:jc w:val="center"/>
      </w:pPr>
      <w:r>
        <w:rPr>
          <w:rFonts w:ascii="Arial" w:cs="Arial" w:eastAsia="Arial" w:hAnsi="Arial"/>
          <w:b/>
          <w:bCs/>
          <w:color w:val="2E75B6"/>
          <w:sz w:val="28"/>
          <w:szCs w:val="28"/>
        </w:rPr>
        <w:t xml:space="preserve">D-CENTRAL GROUP</w:t>
      </w:r>
    </w:p>
    <w:p>
      <w:pPr>
        <w:spacing w:after="40" w:before="0"/>
        <w:jc w:val="center"/>
      </w:pPr>
      <w:r>
        <w:rPr>
          <w:rFonts w:ascii="Arial" w:cs="Arial" w:eastAsia="Arial" w:hAnsi="Arial"/>
          <w:b/>
          <w:bCs/>
          <w:color w:val="1F3864"/>
          <w:sz w:val="40"/>
          <w:szCs w:val="40"/>
        </w:rPr>
        <w:t xml:space="preserve">D-Central Group Inc.</w:t>
      </w:r>
    </w:p>
    <w:p>
      <w:pPr>
        <w:spacing w:after="300" w:before="0"/>
        <w:jc w:val="center"/>
      </w:pPr>
      <w:r>
        <w:rPr>
          <w:rFonts w:ascii="Arial" w:cs="Arial" w:eastAsia="Arial" w:hAnsi="Arial"/>
          <w:color w:val="595959"/>
          <w:sz w:val="22"/>
          <w:szCs w:val="22"/>
        </w:rPr>
        <w:t xml:space="preserve">D-Central Cooperative Economy Investor Thesis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jc w:val="left"/>
            </w:pPr>
            <w:r>
              <w:rPr>
                <w:rFonts w:ascii="Arial" w:cs="Arial" w:eastAsia="Arial" w:hAnsi="Arial"/>
                <w:b/>
                <w:bCs/>
                <w:color w:val="1F3864"/>
                <w:sz w:val="20"/>
                <w:szCs w:val="20"/>
              </w:rPr>
              <w:t xml:space="preserve">Document ID</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INV-006</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jc w:val="left"/>
            </w:pPr>
            <w:r>
              <w:rPr>
                <w:rFonts w:ascii="Arial" w:cs="Arial" w:eastAsia="Arial" w:hAnsi="Arial"/>
                <w:b/>
                <w:bCs/>
                <w:color w:val="1F3864"/>
                <w:sz w:val="20"/>
                <w:szCs w:val="20"/>
              </w:rPr>
              <w:t xml:space="preserve">Version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1.0</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jc w:val="left"/>
            </w:pPr>
            <w:r>
              <w:rPr>
                <w:rFonts w:ascii="Arial" w:cs="Arial" w:eastAsia="Arial" w:hAnsi="Arial"/>
                <w:b/>
                <w:bCs/>
                <w:color w:val="1F3864"/>
                <w:sz w:val="20"/>
                <w:szCs w:val="20"/>
              </w:rPr>
              <w:t xml:space="preserve">Status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Draft</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jc w:val="left"/>
            </w:pPr>
            <w:r>
              <w:rPr>
                <w:rFonts w:ascii="Arial" w:cs="Arial" w:eastAsia="Arial" w:hAnsi="Arial"/>
                <w:b/>
                <w:bCs/>
                <w:color w:val="1F3864"/>
                <w:sz w:val="20"/>
                <w:szCs w:val="20"/>
              </w:rPr>
              <w:t xml:space="preserve">Date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May 2026</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jc w:val="left"/>
            </w:pPr>
            <w:r>
              <w:rPr>
                <w:rFonts w:ascii="Arial" w:cs="Arial" w:eastAsia="Arial" w:hAnsi="Arial"/>
                <w:b/>
                <w:bCs/>
                <w:color w:val="1F3864"/>
                <w:sz w:val="20"/>
                <w:szCs w:val="20"/>
              </w:rPr>
              <w:t xml:space="preserve">Author</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Toussaint Redji Jean Baptiste</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jc w:val="left"/>
            </w:pPr>
            <w:r>
              <w:rPr>
                <w:rFonts w:ascii="Arial" w:cs="Arial" w:eastAsia="Arial" w:hAnsi="Arial"/>
                <w:b/>
                <w:bCs/>
                <w:color w:val="1F3864"/>
                <w:sz w:val="20"/>
                <w:szCs w:val="20"/>
              </w:rPr>
              <w:t xml:space="preserve">Classification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Confidential</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jc w:val="left"/>
            </w:pPr>
            <w:r>
              <w:rPr>
                <w:rFonts w:ascii="Arial" w:cs="Arial" w:eastAsia="Arial" w:hAnsi="Arial"/>
                <w:b/>
                <w:bCs/>
                <w:color w:val="1F3864"/>
                <w:sz w:val="20"/>
                <w:szCs w:val="20"/>
              </w:rPr>
              <w:t xml:space="preserve">Format</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Long-form thesis document for impact and mission-aligned investors</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jc w:val="left"/>
            </w:pPr>
            <w:r>
              <w:rPr>
                <w:rFonts w:ascii="Arial" w:cs="Arial" w:eastAsia="Arial" w:hAnsi="Arial"/>
                <w:b/>
                <w:bCs/>
                <w:color w:val="1F3864"/>
                <w:sz w:val="20"/>
                <w:szCs w:val="20"/>
              </w:rPr>
              <w:t xml:space="preserve">Audience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Impact investors, cooperative capital funds, ESG-mandated institutional investors</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jc w:val="left"/>
            </w:pPr>
            <w:r>
              <w:rPr>
                <w:rFonts w:ascii="Arial" w:cs="Arial" w:eastAsia="Arial" w:hAnsi="Arial"/>
                <w:b/>
                <w:bCs/>
                <w:color w:val="1F3864"/>
                <w:sz w:val="20"/>
                <w:szCs w:val="20"/>
              </w:rPr>
              <w:t xml:space="preserve">Related Documents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DC-STRAT-001 | DC-STRAT-005 | INV-001 | LEGAL-CCSC-001</w:t>
            </w:r>
          </w:p>
        </w:tc>
      </w:tr>
    </w:tbl>
    <w:p>
      <w:pPr>
        <w:spacing w:after="0" w:before="200"/>
      </w:pPr>
      <w:r>
        <w:t xml:space="preserve"/>
      </w:r>
    </w:p>
    <w:p>
      <w:r>
        <w:br w:type="page"/>
      </w:r>
    </w:p>
    <w:p>
      <w:pPr>
        <w:pStyle w:val="Heading1"/>
        <w:spacing w:after="160" w:before="320"/>
      </w:pPr>
      <w:r>
        <w:rPr>
          <w:rFonts w:ascii="Arial" w:cs="Arial" w:eastAsia="Arial" w:hAnsi="Arial"/>
          <w:b/>
          <w:bCs/>
          <w:color w:val="1F3864"/>
          <w:sz w:val="32"/>
          <w:szCs w:val="32"/>
        </w:rPr>
        <w:t xml:space="preserve">1. The Cooperative Economy Thesis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5E8F0" w:val="clear"/>
            <w:tcMar>
              <w:top w:type="dxa" w:w="120"/>
              <w:left w:type="dxa" w:w="160"/>
              <w:bottom w:type="dxa" w:w="120"/>
              <w:right w:type="dxa" w:w="160"/>
            </w:tcMar>
          </w:tcPr>
          <w:p>
            <w:pPr>
              <w:spacing w:after="60" w:before="0"/>
            </w:pPr>
            <w:r>
              <w:rPr>
                <w:rFonts w:ascii="Arial" w:cs="Arial" w:eastAsia="Arial" w:hAnsi="Arial"/>
                <w:b/>
                <w:bCs/>
                <w:color w:val="1F3864"/>
                <w:sz w:val="22"/>
                <w:szCs w:val="22"/>
              </w:rPr>
              <w:t xml:space="preserve">Executive Summary</w:t>
            </w:r>
          </w:p>
          <w:p>
            <w:pPr>
              <w:spacing w:after="0" w:before="0"/>
            </w:pPr>
            <w:r>
              <w:rPr>
                <w:rFonts w:ascii="Arial" w:cs="Arial" w:eastAsia="Arial" w:hAnsi="Arial"/>
                <w:color w:val="000000"/>
                <w:sz w:val="20"/>
                <w:szCs w:val="20"/>
              </w:rPr>
              <w:t xml:space="preserve">D-Central Group represents a new model for technology investment: cooperative technology companies that return economic value to the communities they serve. This document makes the case for why cooperative structure, far from being a financial constraint, creates a category of competitive advantage that conventionally structured companies cannot access. The mission and the moat are the same thing.</w:t>
            </w:r>
          </w:p>
        </w:tc>
      </w:tr>
    </w:tbl>
    <w:p>
      <w:pPr>
        <w:spacing w:after="0" w:before="120"/>
      </w:pPr>
      <w:r>
        <w:t xml:space="preserve"/>
      </w:r>
    </w:p>
    <w:p>
      <w:pPr>
        <w:pStyle w:val="Heading1"/>
        <w:spacing w:after="160" w:before="320"/>
      </w:pPr>
      <w:r>
        <w:rPr>
          <w:rFonts w:ascii="Arial" w:cs="Arial" w:eastAsia="Arial" w:hAnsi="Arial"/>
          <w:b/>
          <w:bCs/>
          <w:color w:val="1F3864"/>
          <w:sz w:val="32"/>
          <w:szCs w:val="32"/>
        </w:rPr>
        <w:t xml:space="preserve">2. The Problem with Platform Economics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jc w:val="left"/>
            </w:pPr>
            <w:r>
              <w:rPr>
                <w:rFonts w:ascii="Arial" w:cs="Arial" w:eastAsia="Arial" w:hAnsi="Arial"/>
                <w:b/>
                <w:bCs/>
                <w:color w:val="1F3864"/>
                <w:sz w:val="20"/>
                <w:szCs w:val="20"/>
              </w:rPr>
              <w:t xml:space="preserve">The extraction model</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The dominant technology business model — platform economics — extracts value from communities: Uber extracts margin from drivers, Airbnb extracts margin from hosts, Ring extracts data from homeowners, Waze extracts attention from drivers. In each case, the community provides the value and the corporation captures it.</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jc w:val="left"/>
            </w:pPr>
            <w:r>
              <w:rPr>
                <w:rFonts w:ascii="Arial" w:cs="Arial" w:eastAsia="Arial" w:hAnsi="Arial"/>
                <w:b/>
                <w:bCs/>
                <w:color w:val="1F3864"/>
                <w:sz w:val="20"/>
                <w:szCs w:val="20"/>
              </w:rPr>
              <w:t xml:space="preserve">The political backlash</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Extraction is politically unstable. Uber faces driver strikes and regulatory action in every market. Ring faces law enforcement data sharing scandals. Flock faces organized community opposition. Waze faces advertising backlash. The political instability is a structural feature of extraction, not a bug to be managed.</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jc w:val="left"/>
            </w:pPr>
            <w:r>
              <w:rPr>
                <w:rFonts w:ascii="Arial" w:cs="Arial" w:eastAsia="Arial" w:hAnsi="Arial"/>
                <w:b/>
                <w:bCs/>
                <w:color w:val="1F3864"/>
                <w:sz w:val="20"/>
                <w:szCs w:val="20"/>
              </w:rPr>
              <w:t xml:space="preserve">The cooperative alternative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Cooperative technology companies return value to the communities that create it: drivers own the dispatch platform, homeowners own the camera network, residents own the safety infrastructure. Political stability is structural — the community advocates for continuation rather than fighting against it.</w:t>
            </w:r>
          </w:p>
        </w:tc>
      </w:tr>
    </w:tbl>
    <w:p>
      <w:pPr>
        <w:spacing w:after="0" w:before="120"/>
      </w:pPr>
      <w:r>
        <w:t xml:space="preserve"/>
      </w:r>
    </w:p>
    <w:p>
      <w:pPr>
        <w:pStyle w:val="Heading1"/>
        <w:spacing w:after="160" w:before="320"/>
      </w:pPr>
      <w:r>
        <w:rPr>
          <w:rFonts w:ascii="Arial" w:cs="Arial" w:eastAsia="Arial" w:hAnsi="Arial"/>
          <w:b/>
          <w:bCs/>
          <w:color w:val="1F3864"/>
          <w:sz w:val="32"/>
          <w:szCs w:val="32"/>
        </w:rPr>
        <w:t xml:space="preserve">3. Why Cooperative Structure Creates Financial Value</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800"/>
        <w:gridCol w:w="2600"/>
        <w:gridCol w:w="4000"/>
      </w:tblGrid>
      <w:tr>
        <w:trPr>
          <w:tblHeader/>
        </w:trPr>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Financial Metric</w:t>
            </w:r>
          </w:p>
        </w:tc>
        <w:tc>
          <w:tcPr>
            <w:tcW w:type="dxa" w:w="2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Conventional Platform</w:t>
            </w:r>
          </w:p>
        </w:tc>
        <w:tc>
          <w:tcPr>
            <w:tcW w:type="dxa" w:w="4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D-Central Cooperative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Customer acquisition cost (CAC)</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High — advertising, sales teams, incentive campaigns</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Low — cooperative members recruit other members. CCSC members have a financial incentive to grow the cooperative.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Customer retention / churn</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Moderate — switching costs are low (software only)</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Very low — switching means losing cooperative membership, patronage history, D-Credit balance, governance rights.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Regulatory risk</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High — extraction models face ongoing regulatory pressure in every market</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Low — community-owned infrastructure has natural political protection. Communities vote against banning it.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Network effect quality</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Standard — more users = better product</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Enhanced — more cooperative members = more political protection + more patronage incentive + more data quality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Brand trust</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Requires ongoing investment — every privacy scandal damages trust</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Structural — open source, auditable, community-owned. Trust is earned architecturally, not marketed.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Moat durability</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Moderate — competitors can replicate features</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Very high — cooperative structure cannot be replicated by investor-owned competitors without destroying their business model</w:t>
            </w:r>
          </w:p>
        </w:tc>
      </w:tr>
    </w:tbl>
    <w:p>
      <w:pPr>
        <w:spacing w:after="0" w:before="120"/>
      </w:pPr>
      <w:r>
        <w:t xml:space="preserve"/>
      </w:r>
    </w:p>
    <w:p>
      <w:pPr>
        <w:pStyle w:val="Heading1"/>
        <w:spacing w:after="160" w:before="320"/>
      </w:pPr>
      <w:r>
        <w:rPr>
          <w:rFonts w:ascii="Arial" w:cs="Arial" w:eastAsia="Arial" w:hAnsi="Arial"/>
          <w:b/>
          <w:bCs/>
          <w:color w:val="1F3864"/>
          <w:sz w:val="32"/>
          <w:szCs w:val="32"/>
        </w:rPr>
        <w:t xml:space="preserve">4. Investment Structure for Impact Investors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jc w:val="left"/>
            </w:pPr>
            <w:r>
              <w:rPr>
                <w:rFonts w:ascii="Arial" w:cs="Arial" w:eastAsia="Arial" w:hAnsi="Arial"/>
                <w:b/>
                <w:bCs/>
                <w:color w:val="1F3864"/>
                <w:sz w:val="20"/>
                <w:szCs w:val="20"/>
              </w:rPr>
              <w:t xml:space="preserve">The tension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Impact investors want both financial return and mission alignment. Conventional structures force a trade-off. D-Central's cooperative model eliminates the trade-off: mission lock provisions in the USA (LEGAL-002) mean the cooperative structure and open source commitment survive any change of control.</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jc w:val="left"/>
            </w:pPr>
            <w:r>
              <w:rPr>
                <w:rFonts w:ascii="Arial" w:cs="Arial" w:eastAsia="Arial" w:hAnsi="Arial"/>
                <w:b/>
                <w:bCs/>
                <w:color w:val="1F3864"/>
                <w:sz w:val="20"/>
                <w:szCs w:val="20"/>
              </w:rPr>
              <w:t xml:space="preserve">Mission lock as de-risking</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For an impact investor, the mission lock provisions are not a constraint — they are due diligence protection. The investor can be confident that the mission they are funding cannot be abandoned by a future board under financial pressure.</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jc w:val="left"/>
            </w:pPr>
            <w:r>
              <w:rPr>
                <w:rFonts w:ascii="Arial" w:cs="Arial" w:eastAsia="Arial" w:hAnsi="Arial"/>
                <w:b/>
                <w:bCs/>
                <w:color w:val="1F3864"/>
                <w:sz w:val="20"/>
                <w:szCs w:val="20"/>
              </w:rPr>
              <w:t xml:space="preserve">Return model</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Returns come from: (1) equity appreciation as the platform scales — D-Central Inc. is a CCPC with standard equity mechanics; (2) data marketplace revenue growing with network density; (3) MSSP platform fees compounding with national expansion. The cooperative distribution at the operating level does not eliminate equity value at the holding company level.</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jc w:val="left"/>
            </w:pPr>
            <w:r>
              <w:rPr>
                <w:rFonts w:ascii="Arial" w:cs="Arial" w:eastAsia="Arial" w:hAnsi="Arial"/>
                <w:b/>
                <w:bCs/>
                <w:color w:val="1F3864"/>
                <w:sz w:val="20"/>
                <w:szCs w:val="20"/>
              </w:rPr>
              <w:t xml:space="preserve">Impact measurement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Annual transparency report (DC-STRAT-004) provides quantitative impact metrics: citation revenue returned to community, insurance premium reductions earned by members, road safety improvements on pilot corridors, privacy complaints received and resolved (target: zero). Impact is measured, not claimed.</w:t>
            </w:r>
          </w:p>
        </w:tc>
      </w:tr>
    </w:tbl>
    <w:p>
      <w:pPr>
        <w:pStyle w:val="Heading1"/>
        <w:spacing w:after="160" w:before="320"/>
      </w:pPr>
      <w:r>
        <w:rPr>
          <w:rFonts w:ascii="Arial" w:cs="Arial" w:eastAsia="Arial" w:hAnsi="Arial"/>
          <w:b/>
          <w:bCs/>
          <w:color w:val="1F3864"/>
          <w:sz w:val="32"/>
          <w:szCs w:val="32"/>
        </w:rPr>
        <w:t xml:space="preserve">Document Control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600"/>
        <w:gridCol w:w="2400"/>
        <w:gridCol w:w="4460"/>
      </w:tblGrid>
      <w:tr>
        <w:trPr>
          <w:tblHeader/>
        </w:trPr>
        <w:tc>
          <w:tcPr>
            <w:tcW w:type="dxa" w:w="9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Ver</w:t>
            </w:r>
          </w:p>
        </w:tc>
        <w:tc>
          <w:tcPr>
            <w:tcW w:type="dxa" w:w="1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Date</w:t>
            </w:r>
          </w:p>
        </w:tc>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Author</w:t>
            </w:r>
          </w:p>
        </w:tc>
        <w:tc>
          <w:tcPr>
            <w:tcW w:type="dxa" w:w="44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Description</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1.0</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May 2026</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Toussaint Redji Jean Baptiste</w:t>
            </w:r>
          </w:p>
        </w:tc>
        <w:tc>
          <w:tcPr>
            <w:tcW w:type="dxa" w:w="4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Initial release</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color w:val="595959"/>
                <w:sz w:val="18"/>
                <w:szCs w:val="18"/>
              </w:rPr>
              <w:t xml:space="preserve">Classification Notice — This document is CONFIDENTIAL and intended for internal use, legal counsel, and authorized personnel only. Distribution requires written authorization from Toussaint Redji Jean Baptiste.</w:t>
            </w:r>
          </w:p>
        </w:tc>
      </w:tr>
    </w:tbl>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6" w:space="1"/>
      </w:pBdr>
      <w:tabs>
        <w:tab w:val="right" w:pos="9360"/>
      </w:tabs>
      <w:spacing w:after="0" w:before="80"/>
    </w:pPr>
    <w:r>
      <w:rPr>
        <w:rFonts w:ascii="Arial" w:cs="Arial" w:eastAsia="Arial" w:hAnsi="Arial"/>
        <w:color w:val="595959"/>
        <w:sz w:val="16"/>
        <w:szCs w:val="16"/>
      </w:rPr>
      <w:t xml:space="preserve">Toussaint Redji Jean Baptiste  |  D-Central Ecosystem  |  May 2026</w:t>
    </w:r>
    <w:r>
      <w:rPr>
        <w:rFonts w:ascii="Arial" w:cs="Arial" w:eastAsia="Arial" w:hAnsi="Arial"/>
        <w:color w:val="595959"/>
        <w:sz w:val="16"/>
        <w:szCs w:val="16"/>
      </w:rPr>
      <w:t xml:space="preserve">	Page </w:t>
    </w:r>
    <w:r>
      <w:rPr>
        <w:rFonts w:ascii="Arial" w:cs="Arial" w:eastAsia="Arial" w:hAnsi="Arial"/>
        <w:color w:val="595959"/>
        <w:sz w:val="16"/>
        <w:szCs w:val="16"/>
      </w:rPr>
      <w:fldChar w:fldCharType="begin"/>
      <w:instrText xml:space="preserve">PAGE</w:instrText>
      <w:fldChar w:fldCharType="separate"/>
      <w:fldChar w:fldCharType="end"/>
    </w:r>
    <w:r>
      <w:rPr>
        <w:rFonts w:ascii="Arial" w:cs="Arial" w:eastAsia="Arial" w:hAnsi="Arial"/>
        <w:color w:val="595959"/>
        <w:sz w:val="16"/>
        <w:szCs w:val="16"/>
      </w:rPr>
      <w:t xml:space="preserve"> of </w:t>
    </w:r>
    <w:r>
      <w:rPr>
        <w:rFonts w:ascii="Arial" w:cs="Arial" w:eastAsia="Arial" w:hAnsi="Arial"/>
        <w:color w:val="59595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tabs>
        <w:tab w:val="right" w:pos="9360"/>
      </w:tabs>
      <w:spacing w:after="80" w:before="0"/>
    </w:pPr>
    <w:r>
      <w:rPr>
        <w:rFonts w:ascii="Arial" w:cs="Arial" w:eastAsia="Arial" w:hAnsi="Arial"/>
        <w:b/>
        <w:bCs/>
        <w:color w:val="1F3864"/>
        <w:sz w:val="16"/>
        <w:szCs w:val="16"/>
      </w:rPr>
      <w:t xml:space="preserve">D-Central Group  |  Confidential</w:t>
    </w:r>
    <w:r>
      <w:rPr>
        <w:rFonts w:ascii="Arial" w:cs="Arial" w:eastAsia="Arial" w:hAnsi="Arial"/>
        <w:color w:val="595959"/>
        <w:sz w:val="16"/>
        <w:szCs w:val="16"/>
      </w:rPr>
      <w:t xml:space="preserve">	Section 2 — Legal &amp; Corporate Structure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F3864"/>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2026-05-31T22:01:52.896Z</dcterms:created>
  <dcterms:modified xsi:type="dcterms:W3CDTF">2026-05-31T22:01:52.896Z</dcterms:modified>
</cp:coreProperties>
</file>

<file path=docProps/custom.xml><?xml version="1.0" encoding="utf-8"?>
<Properties xmlns="http://schemas.openxmlformats.org/officeDocument/2006/custom-properties" xmlns:vt="http://schemas.openxmlformats.org/officeDocument/2006/docPropsVTypes"/>
</file>