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LOAN-CM-004</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Inc.</w:t>
      </w:r>
    </w:p>
    <w:p>
      <w:pPr>
        <w:spacing w:after="300" w:before="0"/>
        <w:jc w:val="center"/>
      </w:pPr>
      <w:r>
        <w:rPr>
          <w:rFonts w:ascii="Arial" w:cs="Arial" w:eastAsia="Arial" w:hAnsi="Arial"/>
          <w:color w:val="595959"/>
          <w:sz w:val="22"/>
          <w:szCs w:val="22"/>
        </w:rPr>
        <w:t xml:space="preserve">Mitacs Accelerate Entrepreneur — Founder Stipend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LOAN-CM-004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apply once incubator accepted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Funding Application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Programme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Mitacs Accelerate Entrepreneur — mitacs.ca/en/programs/accelerate/entrepreneur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Funding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 to $7,500 per internship unit as founder stipend for commercialization work at approved incubator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Eligibility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Student or postdoctoral entrepreneur at approved incubator — Algonquin College student founder is exactly the target profile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LOAN-CM-003 | IRAP-CM-001 | LEGAL-001 | DC-CM-GTM-001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Mitacs Accelerate Entrepreneur funds student and postdoctoral entrepreneurs to achieve commercialization goals and further develop the research or technology at the core of their startup, through funded internships at approved incubators. As a current Algonquin College student building a technology startup based on genuine R&amp;D (CivicMesh), Toussaint Redji Jean Baptiste is the exact target profile for this programme. The stipend of up to $7,500 per unit directly offsets founder living costs during the early development phase, complementing IRAP salary reimbursements.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Eligibility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Eligibility Criterion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D-Central 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Currently enrolled student at a Canadian university or college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enrolled at Algonquin College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Student ID / enrollment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OR postdoctoral fellow / recent graduate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 — student route applies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Startup based on research or technology developed during studies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CivicMesh architecture developed while at Algonquin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GitHub commit history, DC-REG-001 master registry, course project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Housed in or affiliated with an approved Mitacs incubator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Pending — Algonquin Innovation Hub application or Invest Ottawa LaunchPad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Apply to incubator before Mitacs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Commercialization goals that can be achieved through the internship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OC Transpo pilot proposal, CommunityShield HOA deployments, IRAP application, ISC Phase 1 submission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Detailed work plan per Section 2 below</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Proposed Internship Work Plan</w:t>
      </w:r>
    </w:p>
    <w:p>
      <w:pPr>
        <w:spacing w:after="80" w:before="80"/>
      </w:pPr>
      <w:r>
        <w:rPr>
          <w:rFonts w:ascii="Arial" w:cs="Arial" w:eastAsia="Arial" w:hAnsi="Arial"/>
          <w:b w:val="false"/>
          <w:bCs w:val="false"/>
          <w:color w:val="000000"/>
          <w:sz w:val="20"/>
          <w:szCs w:val="20"/>
        </w:rPr>
        <w:t xml:space="preserve">The Mitacs Accelerate Entrepreneur internship work plan should describe the specific commercialization activities to be funded — not general R&amp;D, but activities that advance the startup toward market: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Activity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Commercialization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pilot proposal development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Research OC Transpo procurement requirements, develop formal pilot proposal document (MKT-TM-GOV-007), prepare officer review portal demo for OC Transpo presentation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Submitted OC Transpo pilot proposal with supporting technical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Regulatory compliance research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Commission and review HTA compliance legal opinion (REG-TM-001). Identify regulatory pathway for each CivicMesh module in Ontario.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 opinion confirming HTA compliance — removes primary go-to-market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First CommunityShield HOA client acquisition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Identify, pitch, and sign first 2–3 Ottawa HOA clients using MKT-CS-COM-001 pitch materials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Signed HOA participation agreements (LEGAL-CM-012) generating first revenue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and SR&amp;ED documentation system setup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Set up GitHub organization, Linear workspace with SR&amp;ED tags, Technical Decision Log, time tracking system per SRED-CM-001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Documentation system operational — enables IRAP claims and SR&amp;ED refunds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University research partnership outreach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Approach 3 faculty members at Carleton and uOttawa with Mitacs Accelerate proposals (LOAN-CM-003). Achieve at least 1 committed partnership.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Mitacs Accelerate research unit approved with first university partner</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Incubator Application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Incubator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Apply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Application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Algonquin College Innovation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Founder is a current student — strongest possible relationship. Easiest first incubator. Direct path to Mitacs Accelerate Entrepreneur eligibility.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Apply immediately — Month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Talk to Algonquin entrepreneurship office. Bring: business concept summary, DC-STRAT-001 executive summary, incorporation certificate (once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Invest Ottawa LaunchPad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Ottawa's primary accelerator. City of Ottawa relationships. Direct OC Transpo and municipal contacts. Adds credibility for government conversations.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Apply Month 1–2 — parallel to Algonquin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Online application at investottawa.ca. Requires: business plan, team overview, market opportunity statement. Use DC-STRAT-001 and INV-003 as source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Carleton University Sprott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Once Carleton Mitacs research partnership is established, Carleton incubator provides dual-relationship leverage and access to Carleton alumni network.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Apply Month 3–4 — after Carleton research contact made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Requires: startup summary, team credentials, research partnership letter from faculty supervisor</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2026-05-23T20:51:19.417Z</dcterms:created>
  <dcterms:modified xsi:type="dcterms:W3CDTF">2026-05-23T20:51:19.417Z</dcterms:modified>
</cp:coreProperties>
</file>

<file path=docProps/custom.xml><?xml version="1.0" encoding="utf-8"?>
<Properties xmlns="http://schemas.openxmlformats.org/officeDocument/2006/custom-properties" xmlns:vt="http://schemas.openxmlformats.org/officeDocument/2006/docPropsVTypes"/>
</file>