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SRED-CM-001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CivicMesh Inc. / 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SR&amp;ED Project Ledger — CivicMesh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SRED-CM-001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Living document, updated daily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— set up Day 1, non-negotiable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 — ongoing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CRA Documentation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Scientific Research and Experimental Development (SR&amp;ED) Tax Incentive Programme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Filing Entity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CivicMesh Inc. (or D-Central Group Inc. if not yet incorporated) — CCPC — refundable credits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Refund Rate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35% federal refundable investment tax credit on first $3M of qualified SR&amp;ED expenditures for CCPCs. Ontario provincial top-up adds up to 30% = up to 65% combined refund.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SRED-TM-001 | IRAP-CM-001 | IRAP-TM-001 | FIN-CM-001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SR&amp;ED is Canada's largest government R&amp;D programme — $4.5 billion annually in federal budget. For CCPCs, it is refundable, meaning you receive cash back even with no taxable income. The critical requirement is CONTEMPORANEOUS EVIDENCE — documentation created on the day the R&amp;D occurs, not reconstructed months later. This document establishes the documentation system and daily habits that are worth tens of thousands of dollars in refunds. CRA audits SR&amp;ED claims looking specifically for contemporaneous evidence: Git commit logs, code PRs, Jira/Linear tickets, and technical decision log entries created on the actual dates R&amp;D occurred.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DAY 1 NON-NEGOTIABLE: Before writing a single line of code or running a single model training experiment, set up the GitHub organization, the Linear workspace with SR&amp;ED eligibility tags, and start the Technical Decision Log. Every day you build without this documentation system in place is a day of SR&amp;ED evidence you cannot recover.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SR&amp;ED Eligibility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For work to qualify as SR&amp;ED, it must satisfy all three of the following criteria: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CivicMesh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Scientific or Technological Advancement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work must advance knowledge in a field of science or technology — it must attempt to resolve a technological uncertainty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AI violation detection in Canadian conditions, privacy-preserving federation protocol, on-device ALPR optimization, DID/VC chain for evidence admissibility, OBD-II telemetry fusion — all advance knowledge in their respective fields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Scientific or Technological Uncertainty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There must be a technological uncertainty that cannot be resolved through standard practice, routine engineering, or commonly available knowledge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See IRAP-CM-001 Section 3 — five documented areas of genuine technical uncertainty where the solution is not known in advance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Scientific or Technological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work must follow a systematic investigation and experimentation process — hypothesis, experimentation, documentation of results (including failures)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GitHub commit history, Linear task log, Technical Decision Log, and model training experiment logs provide the systematic investigation record CRA requires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What Qualifies — CivicMesh Specific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SR&amp;ED Eligible?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Edge AI model development and training for violation detection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Primary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Each training run, hyperparameter search, and model evaluation is SR&amp;ED work. Document every experiment.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ALPR optimization for Canadian weather and plate 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Primary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Systematic investigation with documented failed approaches is the core SR&amp;ED narrative.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Privacy-preserving federation protocol design and 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Primary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Novel architecture with no existing solution — strong SR&amp;ED claim.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DID/VC credential schema design and blockchain 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Strong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Novel application of W3C standards to enforcement evidence — documentable uncertainty.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Digital twin mapping engine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Strong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Novel continuous-update algorithm from mobile nodes — no existing comparable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OBD-II telemetry fusion with camera evidence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Strong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Speed estimation from moving reference frame — novel sensor fusion problem.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On-device face/plate blurring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Moderate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Novel privacy-preserving processing constraint — document the optimization challenge.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MeshEar acoustic classification model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✅ YES — Primary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 model for Canadian acoustic environment — strong R&amp;D claim.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Officer review portal UI development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 — Routine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Standard React/FastAPI development. Not SR&amp;ED. Segregate time carefully.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development, sales, marketing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SR&amp;ED eligible under any circumstances.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Routine software integration (API calls to third-party services)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❌ NO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SR&amp;ED eligible. Document separately from eligible work.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Legal research on HTA compliance (technical-legal intersection)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⚠️ PARTIAL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technical design work driven by legal uncertainty may qualify. Discuss with SR&amp;ED consultant.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The Documentation System — Daily Habits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GitHub Commit Messages — The Primary Evidence Record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commit message must describe the technical problem being solved, not just what was changed. CRA looks at commit history as primary evidence of systematic investigation.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SR&amp;ED Evidence (DO NOT WRITE)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SR&amp;ED Evidence (WRITE THIS)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null pointer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Resolve null pointer in GPS timestamp sync during LTE dropout — root cause: race condition in buffer flush. Third approach tried — previous two (mutex lock, queue timeout) caused unacceptable latency.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ALPR 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Retrain ALPR model v7 on augmented Ottawa winter dataset — added 2,400 frost-occluded plate images. F1 score 0.71 → 0.78 on held-out test set. Still below 0.85 production threshold. Next: investigate preprocessing defogging filter.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 federation 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 federation consent gate v3 — previous design (v2) failed audit log atomicity requirement when federation request and community notification fired simultaneously. New approach uses database transaction wrapping both operations.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 bug in twin update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Debug digital twin update latency — 340ms avg vs 100ms target. Profiled: bottleneck is PostGIS spatial index query on high-density node update. Investigating: (1) spatial index rebuild, (2) update batching, (3) Redis spatial cache.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Linear Task Tags — SR&amp;ED Eligibility Tagging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task in Linear must be tagged at creation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SR&amp;ED Eligible: Yes / No / Partial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SR&amp;ED Project: [CivicMesh-Platform / TrafficMesh / CommunityShield / MeshEar / MeshNav]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Technical Uncertainty Area: [Edge AI / ALPR / Federation / DID-VC / OBD-Fusion / Acoustic / Digital-Twin / Other]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IRAP Milestone: [M1 through M6 — per IRAP-CM-001]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 year end, the SR&amp;ED consultant exports the Linear report filtered by SR&amp;ED Eligible: Yes and the claim is built from the tagged task list. This saves 40+ hours of consultant time and significantly reduces audit risk.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Technical Decision Log — The SR&amp;ED Narrative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running Google Doc or Notion page maintained daily. For every significant technical decision: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actual date — not a retroactive entry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Technical 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specific technical problem or uncertainty was being addressed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Approaches Considered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At least 2–3 approaches considered, with brief rationale for why each was or was not pursued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Approach Chosen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was selected and 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Result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happened — including failures (failures are SR&amp;ED gold — they prove the uncertainty was genuine)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Remaining Uncertainty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What is still unknown — what needs to be investigated next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Time Spent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Hours spent on this investigation (must match time tracking records)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Time Tracking — The Financial Foundation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Every team member must log hours DAILY using Harvest, Toggl Track, or equivalent. Time entries must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and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(CivicMesh Platform / TrafficMesh /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Task (with Linear ticket reference)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SR&amp;ED eligible: Yes /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Brief description of work performed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Time tracking is where most SR&amp;ED claims are reduced or denied on audit. A claim for $80,000 in eligible salaries must be supported by time records showing those hours were spent on eligible activities. Retroactive time reconstruction is not accepted by CRA. Log daily — no exceptions.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SR&amp;ED Financial Summary Template</w:t>
      </w: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400"/>
        <w:gridCol w:w="1300"/>
        <w:gridCol w:w="13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Expenditure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Annual 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IRAP Reduction (80% of eligible salary)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SR&amp;ED Eligible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Federal ITC (35% of net)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Ontario Top-Up (~30% of net)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Refund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 salary (eligible portion)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$9,750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Additional staff salary (eligible portion — 1 FTE)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$70,000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$56,000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$4,900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Contractor costs (eligible portion)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$10,000 (50% IRAP)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$6,500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Materials (hardware, cloud compute)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$0 (not IRAP-eligible)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$15,000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$5,250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$9,750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$126,000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$54,000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$18,900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$16,200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$35,100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Note: Actual amounts depend on IRAP approval scope and eligible salary determination. Engage a qualified SR&amp;ED consultant (suggest FSI Digital, Brainhunter, or similar Ottawa-based firm) in Month 1 to review this model and set up the claim structure before year end. Consultant fee is itself SR&amp;ED-eligible as a contractor cost.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Annual SR&amp;ED Claim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3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Year-end close: export GitHub commit history, Linear SR&amp;ED-tagged tasks, time tracking records, Technical Decision Log entries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December 31 / fiscal year end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SR&amp;ED consultant reviews documentation, identifies eligible activities, calculates eligible expenditures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January — February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IRAP reimbursements received during the year are deducted from eligible expenditure calculations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February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T2 corporate income tax return prepared with Schedule 31 (Investment Tax Credit) and Form T661 (SR&amp;ED expenditures)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March — April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CRA processes refund — typically 60–120 days after filing for e-filed returns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June — August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If CRA selects for audit: provide all contemporaneous documentation. Do not modify any records.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2026-05-22T21:38:47.789Z</dcterms:created>
  <dcterms:modified xsi:type="dcterms:W3CDTF">2026-05-22T21:38:47.789Z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