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w:t>
      </w:r>
    </w:p>
    <w:p>
      <w:pPr>
        <w:spacing w:after="300" w:before="0"/>
        <w:jc w:val="center"/>
      </w:pPr>
      <w:r>
        <w:rPr>
          <w:rFonts w:ascii="Arial" w:cs="Arial" w:eastAsia="Arial" w:hAnsi="Arial"/>
          <w:color w:val="595959"/>
          <w:sz w:val="22"/>
          <w:szCs w:val="22"/>
        </w:rPr>
        <w:t xml:space="preserve">Corporate Structure Chart — Legal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Living document, update on each new 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Tax</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 structure reference — source document for designed chart used in investor data room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Tax Counsel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Engage before first institutional investment round — transfer pricing rules apply to intercompany transactions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LEGAL-001 through LEGAL-004 | LEGAL-CM-001 | LEGAL-TM-001 | FIN-CM-003</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document defines the legal corporate structure of D-Central Group for tax, legal, and investor purposes. It maps all entities, their legal form, ownership percentages, jurisdictions of incorporation, and intercompany relationships. Updated whenever a new entity is incorporated or an ownership change occurs. The visual chart produced from this specification is used in investor due diligence data rooms (INV-004).</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Entity Registry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600"/>
        <w:gridCol w:w="1200"/>
        <w:gridCol w:w="1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Form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Jurisdiction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Ownership %</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Federal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(CBCA)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Toussaint Redji Jean Baptiste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 Class A Common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Federal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(CBCA)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 Technologies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Federal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(CBCA)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Federal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(CBCA)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Shield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(OBCA)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Guard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(OBCA)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Forensics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Canada (OBCA)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incorporate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CCSC — CivicMesh Community Safety Coop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 (open membership)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establish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CTC — CivicMesh Training Cooperative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 (training providers)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establish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MSSP Cooperative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 (MSSP operators)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establish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Guard Cooperative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 (response providers)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establish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Housing Cooperative (DHC)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Planning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Education Credit Union (DECU)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Credit Union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Credit Unions and Caisses Populaires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Regulatory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Manufacturing Cooperative (DCMC)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 Ontario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Cooperative Corporations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Member-owned (manufacturers)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Planning</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Intercompany Agreements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Agreement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Parties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IP Licence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 → CivicMesh Inc.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Licence CivicMesh platform IP for exploitation. Royalty rate: TBD with tax counsel — transfer pricing rules apply.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P1 — before SR&amp;ED filing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IP Sublicence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 TrafficMesh Technologies Inc.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Sublicence TrafficMesh-specific IP. Royalty rate: 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IP Sublicence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 CommunityShield Inc.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Sublicence CommunityShield-specific IP.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Management Services Agreement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 → all subsidiaries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Shared services (finance, legal, HR) at arm's-length fee. Required for inter-company cost allocation.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Services Agreement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 D-Central Shield Inc.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platform access and technical ops support. Defines platform fee, SLA, data governance.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Partnership Agreement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 ↔ CCSC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governance, revenue share distribution, and cooperative governance interface.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P2</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Transfer Pricing Note</w:t>
      </w:r>
    </w:p>
    <w:p>
      <w:pPr>
        <w:spacing w:after="80" w:before="80"/>
      </w:pPr>
      <w:r>
        <w:rPr>
          <w:rFonts w:ascii="Arial" w:cs="Arial" w:eastAsia="Arial" w:hAnsi="Arial"/>
          <w:b w:val="false"/>
          <w:bCs w:val="false"/>
          <w:color w:val="000000"/>
          <w:sz w:val="20"/>
          <w:szCs w:val="20"/>
        </w:rPr>
        <w:t xml:space="preserve">As the entity structure grows, intercompany transactions (IP licences, management fees, data fees) are subject to Canada's transfer pricing rules (Income Tax Act s.247). All intercompany transactions must be priced at arm's-length rates. Transfer pricing documentation must be prepared annually. Engage tax counsel with transfer pricing expertise before the first institutional investment round creates valuation benchmarks.</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4. Key Tax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Small Business Deduction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CCPCs eligible for 9% federal rate on active business income up to $500,000 (vs. 15% general rate). Preserves cash flow in early growth.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Credits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Refundable SR&amp;ED credits accrue to the CCPC that conducts the R&amp;D and owns (or has sublicence rights to exploit) the results. IP licences must be in place before R&amp;D commences in any subsidiary.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Patronage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Patronage payments from cooperatives to members are deductible by the cooperative and income to members. Must be structured as patronage dividends under the Income Tax Act.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D-Credit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D-Credit must be structured to avoid classification as a security (OSC) or as property income taxable on issuance. Tax and securities counsel required before D-Credit launches.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2026-05-22T01:00:51.073Z</dcterms:created>
  <dcterms:modified xsi:type="dcterms:W3CDTF">2026-05-22T01:00:51.074Z</dcterms:modified>
</cp:coreProperties>
</file>

<file path=docProps/custom.xml><?xml version="1.0" encoding="utf-8"?>
<Properties xmlns="http://schemas.openxmlformats.org/officeDocument/2006/custom-properties" xmlns:vt="http://schemas.openxmlformats.org/officeDocument/2006/docPropsVTypes"/>
</file>