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LEGAL-CM-010</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CivicMesh Inc.</w:t>
      </w:r>
    </w:p>
    <w:p>
      <w:pPr>
        <w:spacing w:after="300" w:before="0"/>
        <w:jc w:val="center"/>
      </w:pPr>
      <w:r>
        <w:rPr>
          <w:rFonts w:ascii="Arial" w:cs="Arial" w:eastAsia="Arial" w:hAnsi="Arial"/>
          <w:color w:val="595959"/>
          <w:sz w:val="22"/>
          <w:szCs w:val="22"/>
        </w:rPr>
        <w:t xml:space="preserve">MSSP Partner Agreement — Master Franchise Agreement Term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 — Term Sheet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legal counsel to draft full agreement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Franchisor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Inc.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Franchisee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[Certified MSSP Partner — name at execution]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Agreement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Master franchise — MSSP partner operates CivicMesh for end clients within defined territory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LEGAL-CM-011 | LEGAL-CM-015 | LEGAL-CM-016 | DC-CM-MSSP-001 | DC-CM-MSSP-CERT-001</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60"/>
              <w:bottom w:type="dxa" w:w="120"/>
              <w:right w:type="dxa" w:w="160"/>
            </w:tcMar>
          </w:tcPr>
          <w:p>
            <w:pPr>
              <w:spacing w:after="60" w:before="0"/>
            </w:pPr>
            <w:r>
              <w:rPr>
                <w:rFonts w:ascii="Arial" w:cs="Arial" w:eastAsia="Arial" w:hAnsi="Arial"/>
                <w:b/>
                <w:bCs/>
                <w:color w:val="1F3864"/>
                <w:sz w:val="22"/>
                <w:szCs w:val="22"/>
              </w:rPr>
              <w:t xml:space="preserve">Executive Summary</w:t>
            </w:r>
          </w:p>
          <w:p>
            <w:pPr>
              <w:spacing w:after="0" w:before="0"/>
            </w:pPr>
            <w:r>
              <w:rPr>
                <w:rFonts w:ascii="Arial" w:cs="Arial" w:eastAsia="Arial" w:hAnsi="Arial"/>
                <w:color w:val="000000"/>
                <w:sz w:val="20"/>
                <w:szCs w:val="20"/>
              </w:rPr>
              <w:t xml:space="preserve">The MSSP Partner Agreement is the master franchise agreement between CivicMesh Inc. and certified MSSP operators. The MSSP is the client-facing operator for municipalities, HOAs, and campuses. CivicMesh Inc. is the technical infrastructure and IP provider. This agreement defines platform fees, operator obligations, data ownership rules, SLA requirements, open source compliance, and termination provisions. D-Central Shield Inc. holds the first executed agreement as founding MSSP operator.</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1. Grant of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Licence Granted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Non-exclusive, non-transferable licence to deploy, operate, and market the CivicMesh Commercial Edition within the Authorized Territory, for the purpose of providing managed services to end clients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Authorized Territory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Specific geographic territory defined at execution. Non-exclusive unless Gold tier certification achieved and territory performance targets met.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Authorized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Specific CivicMesh modules authorized for this MSSP — listed at execution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Sublicence Prohibited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MSSP may not sublicence the platform. End client agreements are service agreements, not sublicences.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Initial 2-year term, renewable annually with 90-day advance notice of non-renewal</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Fee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Base Platform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$[TBD]/month per MSSP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in advance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Covers platform access, NOC tooling, security ops support, model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Per-Node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$[TBD]/active node/month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prior month count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Scales automatically with deployment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Per-Citation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$[TBD]/validated citation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 prior month volume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Aligns CivicMesh revenue with MSSP enforcement success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Marketplace Rev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[X]% of data product revenue from MSSP-managed communities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Monthly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Insurer API, municipal data subscriptions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Certification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$[TBD]/staff member — one-time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At certification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Training Institute Track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 Audit Fee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Annual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Covers annual MSSP certification audit</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MSSP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Category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Obligations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Certification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Maintain CivicMesh MSSP Gold certification. Minimum 2 certified MSSP Operator Track staff per deployment. Annual recertification.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Infrastructure SLA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99.9% uptime for evidence pipeline and officer review portal. NOC staffed 24/7. Incident response within 1 hour for P1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SOC 2 Type II maintained. Cyber liability insurance minimum $5M CAD. E&amp;O insurance minimum $5M CAD. Annual penetration test by approved firm.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Data Governance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data sharing beyond what is authorized in Municipal Data Federation Agreement (LEGAL-CM-011). No data broker integration ever. Full audit log maintained. Community transparency reports generated and published annually.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Open Source 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Any modifications to AGPL v3 Community Edition code must be published under AGPL v3. No proprietary forks. Full compliance with LEGAL-CM-016.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PIPEDA compliance maintained. Privacy Impact Assessment conducted for each new deployment. Breach notification to CivicMesh Inc. within 24 hours of suspected breach.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Cooperative Integration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Facilitate CCSC member onboarding for civilian opt-in participants. Coordinate patronage distribution reporting. Do not interfere with cooperative governance.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4. Data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Evidence Package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Owned by the community (municipality or HOA/condo) whose nodes generated it. MSSP has operational access only.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Derived 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Aggregate, anonymised analytics derived from evidence data are owned by CivicMesh Inc. for the data marketplace. MSSP receives a revenue share.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MSSP Business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Client lists, commercial terms, and MSSP-specific business data are owned by the MSSP.</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On Termination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MSSP must return or destroy all CivicMesh proprietary data within 30 days. Evidence data is transferred to the community owner or CivicMesh Inc. as custodian.</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5.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By CivicMesh Inc. (with cause — immediate)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Material breach of data governance; loss of MSSP certification; insolvency; unauthorized sublicence; breach of open source obligations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By CivicMesh Inc. (without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90 days written notice. MSSP receives 30-day wind-down period to transition end clients.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By MSSP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90 days written notice. End client transition plan required.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Client Continuity Obligation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 termination for any reason, MSSP must cooperate in transitioning all end client relationships. No disruption to municipal enforcement operations permitted.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Credential Revocation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CivicMesh Inc. revokes MSSP Operator Credential from trust registry within 24 hours of effective termination date.</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6.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2026-05-22T15:56:56.599Z</dcterms:created>
  <dcterms:modified xsi:type="dcterms:W3CDTF">2026-05-22T15:56:56.611Z</dcterms:modified>
</cp:coreProperties>
</file>

<file path=docProps/custom.xml><?xml version="1.0" encoding="utf-8"?>
<Properties xmlns="http://schemas.openxmlformats.org/officeDocument/2006/custom-properties" xmlns:vt="http://schemas.openxmlformats.org/officeDocument/2006/docPropsVTypes"/>
</file>