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LEGAL-CS-001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CommunityShield Inc.</w:t>
      </w:r>
    </w:p>
    <w:p>
      <w:pPr>
        <w:spacing w:after="300" w:before="0"/>
        <w:jc w:val="center"/>
      </w:pPr>
      <w:r>
        <w:rPr>
          <w:rFonts w:ascii="Arial" w:cs="Arial" w:eastAsia="Arial" w:hAnsi="Arial"/>
          <w:color w:val="595959"/>
          <w:sz w:val="22"/>
          <w:szCs w:val="22"/>
        </w:rPr>
        <w:t xml:space="preserve">Articles of Incorporation — Federal CCPC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LEGAL-CS-001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Parent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Inc. (100% owner)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CommunityShield, MeshPlate, and MeshEar operations for HOA, condo, campus, and private property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LEGAL-CM-001 | DC-CS-ARCH-001 | DC-MP-ARCH-001 | DC-ME-ARCH-001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CommunityShield Inc. is the operating entity for the three community-facing CivicMesh modules: CommunityShield (doorbell/camera network), MeshPlate (community LPR), and MeshEar (acoustic detection). It contracts with HOAs, condo corporations, apartment landlords, university campuses, and business parks. It manages CCSC member node owner relationships and processes community fine revenue for distribution. This is the entity through which community revenue share flows to CCSC members — it is the beachhead revenue product while TrafficMesh is in regulatory approval.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Modules Operated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Regulatory Basis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Document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Privacy-preserving doorbell and outdoor camera network for HOAs, condos, apartments, campuses. On-device face/plate blurring. Local NAS/private cloud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 Ontario RTA for residential. No municipal approval required for private property deployments.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REG-CS-001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Community-owned LPR with hash-before-store privacy architecture. No national private database. Community and municipal data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 legislative gap for ALPR (no specific statute). Charter s.8 analysis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REG-MP-001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Event-triggered acoustic detection. On-device processing only — no raw audio uploaded. 10-second max clip on event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Criminal Code s.184 wiretapping analysis — event-triggered design is the key legal distinction from continuous monitoring.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REG-ME-001</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Community Revenue Flow</w:t>
      </w:r>
    </w:p>
    <w:p>
      <w:pPr>
        <w:spacing w:after="80" w:before="80"/>
      </w:pPr>
      <w:r>
        <w:rPr>
          <w:rFonts w:ascii="Arial" w:cs="Arial" w:eastAsia="Arial" w:hAnsi="Arial"/>
          <w:b w:val="false"/>
          <w:bCs w:val="false"/>
          <w:color w:val="000000"/>
          <w:sz w:val="20"/>
          <w:szCs w:val="20"/>
        </w:rPr>
        <w:t xml:space="preserve">CommunityShield Inc. processes community fine revenue for HOA and condo deployments:</w:t>
      </w:r>
    </w:p>
    <w:p>
      <w:pPr>
        <w:pStyle w:val="ListParagraph"/>
        <w:numPr>
          <w:ilvl w:val="0"/>
          <w:numId w:val="2"/>
        </w:numPr>
        <w:spacing w:after="40" w:before="40"/>
      </w:pPr>
      <w:r>
        <w:rPr>
          <w:rFonts w:ascii="Arial" w:cs="Arial" w:eastAsia="Arial" w:hAnsi="Arial"/>
          <w:sz w:val="20"/>
          <w:szCs w:val="20"/>
        </w:rPr>
        <w:t xml:space="preserve">Community violation confirmed by HOA/property manager (equivalent to officer review for private property enforcement);</w:t>
      </w:r>
    </w:p>
    <w:p>
      <w:pPr>
        <w:pStyle w:val="ListParagraph"/>
        <w:numPr>
          <w:ilvl w:val="0"/>
          <w:numId w:val="2"/>
        </w:numPr>
        <w:spacing w:after="40" w:before="40"/>
      </w:pPr>
      <w:r>
        <w:rPr>
          <w:rFonts w:ascii="Arial" w:cs="Arial" w:eastAsia="Arial" w:hAnsi="Arial"/>
          <w:sz w:val="20"/>
          <w:szCs w:val="20"/>
        </w:rPr>
        <w:t xml:space="preserve">Fine collected by CommunityShield Inc. from violating party;</w:t>
      </w:r>
    </w:p>
    <w:p>
      <w:pPr>
        <w:pStyle w:val="ListParagraph"/>
        <w:numPr>
          <w:ilvl w:val="0"/>
          <w:numId w:val="2"/>
        </w:numPr>
        <w:spacing w:after="40" w:before="40"/>
      </w:pPr>
      <w:r>
        <w:rPr>
          <w:rFonts w:ascii="Arial" w:cs="Arial" w:eastAsia="Arial" w:hAnsi="Arial"/>
          <w:sz w:val="20"/>
          <w:szCs w:val="20"/>
        </w:rPr>
        <w:t xml:space="preserve">Platform processing fee deducted;</w:t>
      </w:r>
    </w:p>
    <w:p>
      <w:pPr>
        <w:pStyle w:val="ListParagraph"/>
        <w:numPr>
          <w:ilvl w:val="0"/>
          <w:numId w:val="2"/>
        </w:numPr>
        <w:spacing w:after="40" w:before="40"/>
      </w:pPr>
      <w:r>
        <w:rPr>
          <w:rFonts w:ascii="Arial" w:cs="Arial" w:eastAsia="Arial" w:hAnsi="Arial"/>
          <w:sz w:val="20"/>
          <w:szCs w:val="20"/>
        </w:rPr>
        <w:t xml:space="preserve">Remainder distributed per community revenue share agreement: HOA operating fund + CCSC member node owner patronage + CivicMesh Inc. data product allocation;</w:t>
      </w:r>
    </w:p>
    <w:p>
      <w:pPr>
        <w:pStyle w:val="ListParagraph"/>
        <w:numPr>
          <w:ilvl w:val="0"/>
          <w:numId w:val="2"/>
        </w:numPr>
        <w:spacing w:after="40" w:before="40"/>
      </w:pPr>
      <w:r>
        <w:rPr>
          <w:rFonts w:ascii="Arial" w:cs="Arial" w:eastAsia="Arial" w:hAnsi="Arial"/>
          <w:sz w:val="20"/>
          <w:szCs w:val="20"/>
        </w:rPr>
        <w:t xml:space="preserve">All distributions logged in NOC dashboard and annual transparency report.</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Why This Is the Beachhead Revenue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regulatory 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HOA and condo deployments are on private property under civil authority — no municipal approval, no HTA analysis required. Can deploy from Month 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Immediate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NOC platform fees from the first HOA client provide cash flow while TrafficMesh regulatory approval is in progress.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Network building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CommunityShield deployment adds nodes to the CivicMesh network. When the civilian opt-in programme launches, these nodes are already enrolled and operational.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Case study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Ottawa HOA deployments give you real revenue data, real safety outcome data, and real privacy compliance track record to show OC Transpo and City of Ottawa.</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2026-05-22T01:03:36.830Z</dcterms:created>
  <dcterms:modified xsi:type="dcterms:W3CDTF">2026-05-22T01:03:36.830Z</dcterms:modified>
</cp:coreProperties>
</file>

<file path=docProps/custom.xml><?xml version="1.0" encoding="utf-8"?>
<Properties xmlns="http://schemas.openxmlformats.org/officeDocument/2006/custom-properties" xmlns:vt="http://schemas.openxmlformats.org/officeDocument/2006/docPropsVTypes"/>
</file>