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LEGAL-CTC-001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CivicMesh Training Cooperative (CTC)</w:t>
      </w:r>
    </w:p>
    <w:p>
      <w:pPr>
        <w:spacing w:after="300" w:before="0"/>
        <w:jc w:val="center"/>
      </w:pPr>
      <w:r>
        <w:rPr>
          <w:rFonts w:ascii="Arial" w:cs="Arial" w:eastAsia="Arial" w:hAnsi="Arial"/>
          <w:color w:val="595959"/>
          <w:sz w:val="22"/>
          <w:szCs w:val="22"/>
        </w:rPr>
        <w:t xml:space="preserve">Articles &amp; Bylaws Specification — Ontario Cooperative Corporations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LEGAL-CTC-001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requires cooperative law counsel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Internal / Public on establishment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Governing Legislation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Ontario Cooperative Corporations Act, R.S.O. 1990, c. C.35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Cooperative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Multi-stakeholder — training providers as producer members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LEGAL-CCSC-001 | TRAIN-001 | TRAIN-007 | DC-CM-APP-007</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CTC is the cooperative that governs the CivicMesh Training Institute. D-Central Group Inc. is the founding member and curriculum standards anchor. Accredited training providers (Algonquin College, Carleton, private trainers) join CTC as member providers. Training revenue is distributed back to member providers proportionally. Curriculum standards are co-developed by members. This cooperative structure ensures that the certification programme is governed by practitioners — not unilaterally controlled by D-Central — which gives it credibility and adoption among professional training organizations.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Founding Member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D-Central Group Inc. (curriculum standards anchor — permanent seat on standards committee)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Provider Members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Accredited training organizations: Algonquin College (target first accredited provider), Carleton University, uOttawa, private security training companies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Accreditation Requirements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Provider must: (a) deliver curriculum that meets CTC competency standards; (b) have qualified instructors (minimum L3 certified for technical tracks); (c) meet assessment quality standards; (d) submit to annual CTC audit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Membership Fee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$2,000 CAD per year per provider organization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Revenue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800"/>
        <w:gridCol w:w="17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Revenue Source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Delivering Provider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CTC Common Fund</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Curriculum Development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Track 1 — Node Technician ($299–$799)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Track 2 — MSSP Operator ($1,200)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Track 3 — Community Manager ($399)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Track 4 — Security Response ($399)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Track 5 — Municipal Partner ($599)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Curriculum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Standards Committee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D-Central permanent seat + elected provider representatives (1 per 5 members, minimum 2). Reviews and approves curriculum changes.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RFC Process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 member may propose curriculum changes via a formal RFC. Standards Committee reviews within 30 days. Approved changes take effect on next certification cycle.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curriculum documents version-controlled in CTC shared repository. Each certification cohort trained on the current version at time of enrollment.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Rapid Update 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Platform updates that affect certification content (new module release, regulatory change) trigger an expedited 2-week review and mandatory provider notification.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Algonquin College Partnership — First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Relationship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Algonquin is the founder's institution. The innovation hub relationship provides the incubator connection required for Mitacs Accelerate Entrepreneur.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Programme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Node Technician as a continuing education certificate. CivicMesh Training as an applied research collaboration under Algonquin's industry partnership programme.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Revenue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If Algonquin delivers 50 L1 certifications in Year 1 at $299 each ($14,950 revenue), Algonquin receives 60% ($8,970) and CTC receives 40% ($5,980). This is real revenue before a single city contract is signed.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Mitacs Lever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Algonquin as accredited CTC provider also strengthens the Mitacs Accelerate Entrepreneur application — two Algonquin relationships (incubator + CTC provider) make the application compelling.</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2026-05-22T01:03:36.933Z</dcterms:created>
  <dcterms:modified xsi:type="dcterms:W3CDTF">2026-05-22T01:03:36.933Z</dcterms:modified>
</cp:coreProperties>
</file>

<file path=docProps/custom.xml><?xml version="1.0" encoding="utf-8"?>
<Properties xmlns="http://schemas.openxmlformats.org/officeDocument/2006/custom-properties" xmlns:vt="http://schemas.openxmlformats.org/officeDocument/2006/docPropsVTypes"/>
</file>