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REG-CM-001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TrafficMesh Technologies Inc. / CivicMesh Inc.</w:t>
      </w:r>
    </w:p>
    <w:p>
      <w:pPr>
        <w:spacing w:after="300" w:before="0"/>
        <w:jc w:val="center"/>
      </w:pPr>
      <w:r>
        <w:rPr>
          <w:rFonts w:ascii="Arial" w:cs="Arial" w:eastAsia="Arial" w:hAnsi="Arial"/>
          <w:color w:val="595959"/>
          <w:sz w:val="22"/>
          <w:szCs w:val="22"/>
        </w:rPr>
        <w:t xml:space="preserve">CivicMesh PIPEDA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REG-CM-001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for legal counsel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 / Regulatory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Privacy impact assessment template, consent management, retention/deletion, breach notification, individual access rights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Applies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CivicMesh modules and all community deployments — mandatory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DC-CM-PRV-001 | REG-CM-002 | LEGAL-CM-013 | DC-CM-FED-001 | DC-CM-GOV-003</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PIPEDA Applicability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Does PIPEDA apply?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CivicMesh collects personal information (video footage containing identifiable faces, vehicle plates linked to identifiable owners, location data linked to device owners) in the course of commercial activity. PIPEDA applies to all commercial organizations in Canada collecting, using, or disclosing personal information.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Provincial laws that supplement PIPEDA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Quebec (Law 25 — stronger consent and transparency requirements), British Columbia (PIPA), Alberta (PIPA). When deploying in these provinces, the provincial law requirements take precedence where stricter than PIPEDA.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Exemption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Purely personal use exemption (PIPEDA s.4(2)(b)) does not apply — CivicMesh is a commercial platform. Law enforcement exemption does not apply to CivicMesh as operator — only to law enforcement agencies requesting data through the federation protocol.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Privacy Impact Assessment Template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PIA Element</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Required Content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Responsible Party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inventory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Complete list of personal information collected by module, with legal basis for collection and stated purpose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Privacy Officer + MSSP operator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flow diagram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Visual map of data from collection to storage to use to disclosure to deletion — for each module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Engineering team — reviewed by Privacy Officer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Risk assessment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Identification of privacy risks, likelihood, and severity. Mitigation measures for each identified risk.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Officer with MSSP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Consent mechanism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Description of how consent is obtained, recorded, and can be withdrawn for each data type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Engineering + Legal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Third-party disclosures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Complete list of third parties who receive personal information, legal basis, contractual protections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 reviewed by Privacy Officer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Retention and deletion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Retention period for each data type, deletion mechanism, verification that deletion occurs as scheduled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Engineering + NOC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Breach response plan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Step-by-step response to a privacy breach — containment, assessment, notification, remediation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Officer + MSSP NOC</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Ten PIPEDA Principles — CivicMesh Technical Controls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Principle</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CivicMesh Technical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Accountability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Officer designated per entity. Automated compliance monitoring in SOC Console. Annual privacy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 Identifying Purposes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Purpose tags on all data at collection. Evidence packages carry violation_type and legal_authority fields. No repurposing without new consent.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 Consent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Technical consent enforcement at GraphQL API layer — unconsented data access is technically blocked, not just prohibited. Opt-in default for all sensitive 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 Limiting Collection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On-device data minimization — non-violation frames discarded on-device. No continuous recording. Hash-before-store for ALPR.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 Limiting Use, Disclosure, Retention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Purpose-tagged data cannot be used for other purposes. TTL-enforced deletion. Prohibited use clause in all commercial agreements.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 Accuracy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package immutability — signed packages cannot be modified post-capture. Any modification invalidates the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 Safeguards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TLS 1.3 in transit. AES-256 at rest. ATECC608B hardware key storage on nodes. SOC 2 Type II for MSSP operators. Annual penetration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 Openness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Public privacy architecture documentation. Annual transparency report. civicmesh.ca/privacy — plain language privacy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9. Individual Access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Self-service data export in Member App within 30 days. Data correction within 30 days. Deletion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 Challenging Compliance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complaint process in Manager Dashboard and Member App. Privacy Officer responds within 30 days. OPC complaint pathway documented in all privacy notices.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Breach Notification Procedure</w:t>
      </w:r>
    </w:p>
    <w:p>
      <w:pPr>
        <w:pStyle w:val="ListParagraph"/>
        <w:numPr>
          <w:ilvl w:val="0"/>
          <w:numId w:val="2"/>
        </w:numPr>
        <w:spacing w:after="40" w:before="40"/>
      </w:pPr>
      <w:r>
        <w:rPr>
          <w:rFonts w:ascii="Arial" w:cs="Arial" w:eastAsia="Arial" w:hAnsi="Arial"/>
          <w:sz w:val="20"/>
          <w:szCs w:val="20"/>
        </w:rPr>
        <w:t xml:space="preserve">Breach detected (by SOC Console, NOC operator, or external report).</w:t>
      </w:r>
    </w:p>
    <w:p>
      <w:pPr>
        <w:pStyle w:val="ListParagraph"/>
        <w:numPr>
          <w:ilvl w:val="0"/>
          <w:numId w:val="2"/>
        </w:numPr>
        <w:spacing w:after="40" w:before="40"/>
      </w:pPr>
      <w:r>
        <w:rPr>
          <w:rFonts w:ascii="Arial" w:cs="Arial" w:eastAsia="Arial" w:hAnsi="Arial"/>
          <w:sz w:val="20"/>
          <w:szCs w:val="20"/>
        </w:rPr>
        <w:t xml:space="preserve">Privacy Officer notified immediately. Breach contained — isolate affected systems if necessary.</w:t>
      </w:r>
    </w:p>
    <w:p>
      <w:pPr>
        <w:pStyle w:val="ListParagraph"/>
        <w:numPr>
          <w:ilvl w:val="0"/>
          <w:numId w:val="2"/>
        </w:numPr>
        <w:spacing w:after="40" w:before="40"/>
      </w:pPr>
      <w:r>
        <w:rPr>
          <w:rFonts w:ascii="Arial" w:cs="Arial" w:eastAsia="Arial" w:hAnsi="Arial"/>
          <w:sz w:val="20"/>
          <w:szCs w:val="20"/>
        </w:rPr>
        <w:t xml:space="preserve">Breach assessed within 24 hours: What data was accessed? How many individuals affected? What is the real risk of significant harm?</w:t>
      </w:r>
    </w:p>
    <w:p>
      <w:pPr>
        <w:pStyle w:val="ListParagraph"/>
        <w:numPr>
          <w:ilvl w:val="0"/>
          <w:numId w:val="2"/>
        </w:numPr>
        <w:spacing w:after="40" w:before="40"/>
      </w:pPr>
      <w:r>
        <w:rPr>
          <w:rFonts w:ascii="Arial" w:cs="Arial" w:eastAsia="Arial" w:hAnsi="Arial"/>
          <w:sz w:val="20"/>
          <w:szCs w:val="20"/>
        </w:rPr>
        <w:t xml:space="preserve">If real risk of significant harm: notify OPC within 72 hours of determination. Prepare breach report (OPC form).</w:t>
      </w:r>
    </w:p>
    <w:p>
      <w:pPr>
        <w:pStyle w:val="ListParagraph"/>
        <w:numPr>
          <w:ilvl w:val="0"/>
          <w:numId w:val="2"/>
        </w:numPr>
        <w:spacing w:after="40" w:before="40"/>
      </w:pPr>
      <w:r>
        <w:rPr>
          <w:rFonts w:ascii="Arial" w:cs="Arial" w:eastAsia="Arial" w:hAnsi="Arial"/>
          <w:sz w:val="20"/>
          <w:szCs w:val="20"/>
        </w:rPr>
        <w:t xml:space="preserve">Notify affected individuals as soon as reasonably possible with: description of breach, information at risk, steps taken to reduce harm, steps individual can take, contact information for questions.</w:t>
      </w:r>
    </w:p>
    <w:p>
      <w:pPr>
        <w:pStyle w:val="ListParagraph"/>
        <w:numPr>
          <w:ilvl w:val="0"/>
          <w:numId w:val="2"/>
        </w:numPr>
        <w:spacing w:after="40" w:before="40"/>
      </w:pPr>
      <w:r>
        <w:rPr>
          <w:rFonts w:ascii="Arial" w:cs="Arial" w:eastAsia="Arial" w:hAnsi="Arial"/>
          <w:sz w:val="20"/>
          <w:szCs w:val="20"/>
        </w:rPr>
        <w:t xml:space="preserve">Notify affected communities via NOC Console emergency alert within 48 hours.</w:t>
      </w:r>
    </w:p>
    <w:p>
      <w:pPr>
        <w:pStyle w:val="ListParagraph"/>
        <w:numPr>
          <w:ilvl w:val="0"/>
          <w:numId w:val="2"/>
        </w:numPr>
        <w:spacing w:after="40" w:before="40"/>
      </w:pPr>
      <w:r>
        <w:rPr>
          <w:rFonts w:ascii="Arial" w:cs="Arial" w:eastAsia="Arial" w:hAnsi="Arial"/>
          <w:sz w:val="20"/>
          <w:szCs w:val="20"/>
        </w:rPr>
        <w:t xml:space="preserve">Maintain breach record for minimum 2 years — even if no notification was required.</w:t>
      </w:r>
    </w:p>
    <w:p>
      <w:pPr>
        <w:pStyle w:val="ListParagraph"/>
        <w:numPr>
          <w:ilvl w:val="0"/>
          <w:numId w:val="2"/>
        </w:numPr>
        <w:spacing w:after="40" w:before="40"/>
      </w:pPr>
      <w:r>
        <w:rPr>
          <w:rFonts w:ascii="Arial" w:cs="Arial" w:eastAsia="Arial" w:hAnsi="Arial"/>
          <w:sz w:val="20"/>
          <w:szCs w:val="20"/>
        </w:rPr>
        <w:t xml:space="preserve">Post-breach review within 30 days: root cause analysis, technical remediation, policy updates, annual report entry.</w:t>
      </w:r>
    </w:p>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2026-05-27T13:38:15.255Z</dcterms:created>
  <dcterms:modified xsi:type="dcterms:W3CDTF">2026-05-27T13:38:15.255Z</dcterms:modified>
</cp:coreProperties>
</file>

<file path=docProps/custom.xml><?xml version="1.0" encoding="utf-8"?>
<Properties xmlns="http://schemas.openxmlformats.org/officeDocument/2006/custom-properties" xmlns:vt="http://schemas.openxmlformats.org/officeDocument/2006/docPropsVTypes"/>
</file>