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REG-ME-001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 TrafficMesh Technologies Inc. / CivicMesh Inc.</w:t>
      </w:r>
    </w:p>
    <w:p>
      <w:pPr>
        <w:spacing w:after="300" w:before="0"/>
        <w:jc w:val="center"/>
      </w:pPr>
      <w:r>
        <w:rPr>
          <w:rFonts w:ascii="Arial" w:cs="Arial" w:eastAsia="Arial" w:hAnsi="Arial"/>
          <w:color w:val="595959"/>
          <w:sz w:val="22"/>
          <w:szCs w:val="22"/>
        </w:rPr>
        <w:t xml:space="preserve">MeshEar Acoustic Monitoring Regulatory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REG-ME-001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for legal counsel review</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Legal / Regulatory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Scope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Criminal Code s.184 wiretapping analysis, event-triggered vs. continuous distinction, consent requirements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Critical Design Dependency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This legal opinion must be obtained BEFORE any MeshEar deployment. The event-triggered architecture is designed to comply — but compliance must be confirmed by criminal law counsel.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DC-ME-ARCH-001 | DC-ME-MODEL-001 | REG-CM-001 | LEGAL-CS-001</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Criminal Code s.184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The Prohibition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Criminal Code s.184(1): Every person who, by means of an electromagnetic, acoustic, mechanical or other device, wilfully intercepts a private communication is guilty of an indictable offence.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Key Definition — Private Communication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Criminal Code s.183: 'private communication' means any oral communication, or any telecommunication, that is made by an originator who is in Canada or is intended by the originator to be received by a person who is in Canada and that is made under circumstances in which it is reasonable for the originator to expect that it will not be intercepted by any person other than the person intended by the originator to receive it.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The Central Question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Does MeshEar's acoustic detection system constitute 'interception of a private communication' under s.184? The answer depends on: (1) whether voices and conversations are captured by the system, and (2) whether the context creates a reasonable expectation of privacy.</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MeshEar's Legal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Design Element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Legal Purpose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Technical 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Event-triggered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system does not continuously record — it only captures a 10-second clip when a specific acoustic event (gunshot, glass break, etc.) is detected. An acoustic monitoring system that does not record continuously is structurally different from wiretapping.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Rolling 5-second buffer overwrites continuously. No audio stored unless event detected.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Non-voice trigger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acoustic model detects specific non-voice events (gunshot, glass break, vehicle collision, explosion). It is not triggered by voice activity or conversation. The intent is to detect dangerous acoustic events, not to capture human communications.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Model trained on non-voice acoustic signatures. Voice activity detection NOT included — deliberately excluded.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 notice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All residents in a MeshEar-equipped community are notified that acoustic monitoring technology is in use. While notice is not required for the architectural compliance argument, it provides a contextual argument that the reasonable expectation of privacy is reduced.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Notice included in mandatory resident notification package.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Minimum retention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Only 10 seconds of audio retained — 5 seconds before and 5 seconds after the detected event. Audio is deleted from buffer after upload or within 24 hours if no upload trigger.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Firmware: 10-second maximum clip. No long-form recording.</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Legal Opinion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Opinion required 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Does event-triggered acoustic detection (not voice-triggered, not continuous) constitute 'interception' under s.184? (2) Does the non-voice-triggered design take MeshEar outside the definition of 'private communication' interception? (3) Does community notice reduce the reasonable expectation of privacy sufficiently that any incidental voice capture is lawful?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Counsel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Criminal law counsel with specific experience in electronic surveillance and interception law. Not general privacy counsel — s.184 is a Criminal Code matter requiring criminal defence/crown expertise.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Jurisdiction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Federal criminal law — same analysis applies nationally. One opinion covers all provinces.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Budget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$5,000–$10,000 for written opinion. This is a non-negotiable expenditure before any MeshEar deployment.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If opinion is unfavourable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If counsel concludes that MeshEar as currently designed engages s.184, the design modification is: raise the trigger threshold so no audio is captured at all — only a classification output (GUNSHOT: HIGH_CONFIDENCE) is transmitted, with no audio clip. This eliminates the s.184 concern entirely but reduces evidentiary value.</w:t>
            </w:r>
          </w:p>
        </w:tc>
      </w:tr>
    </w:tbl>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2026-05-27T13:38:15.546Z</dcterms:created>
  <dcterms:modified xsi:type="dcterms:W3CDTF">2026-05-27T13:38:15.546Z</dcterms:modified>
</cp:coreProperties>
</file>

<file path=docProps/custom.xml><?xml version="1.0" encoding="utf-8"?>
<Properties xmlns="http://schemas.openxmlformats.org/officeDocument/2006/custom-properties" xmlns:vt="http://schemas.openxmlformats.org/officeDocument/2006/docPropsVTypes"/>
</file>